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23DDA">
      <w:pPr>
        <w:spacing w:line="400" w:lineRule="exact"/>
        <w:jc w:val="left"/>
        <w:rPr>
          <w:rFonts w:ascii="黑体" w:hAnsi="黑体" w:eastAsia="黑体" w:cs="方正小标宋简体"/>
          <w:sz w:val="30"/>
          <w:szCs w:val="30"/>
        </w:rPr>
      </w:pPr>
      <w:r>
        <w:rPr>
          <w:rFonts w:ascii="黑体" w:hAnsi="黑体" w:eastAsia="黑体" w:cs="方正小标宋简体"/>
          <w:sz w:val="32"/>
          <w:szCs w:val="32"/>
        </w:rPr>
        <w:t>附件</w:t>
      </w:r>
    </w:p>
    <w:p w14:paraId="4A121A02">
      <w:pPr>
        <w:spacing w:line="400" w:lineRule="exact"/>
        <w:jc w:val="center"/>
        <w:rPr>
          <w:rFonts w:hint="eastAsia" w:ascii="CESI黑体-GB2312" w:hAnsi="CESI黑体-GB2312" w:eastAsia="CESI黑体-GB2312" w:cs="CESI黑体-GB2312"/>
          <w:sz w:val="36"/>
          <w:szCs w:val="36"/>
          <w:lang w:eastAsia="zh-CN"/>
        </w:rPr>
      </w:pPr>
      <w:r>
        <w:rPr>
          <w:rFonts w:hint="eastAsia" w:ascii="CESI黑体-GB2312" w:hAnsi="CESI黑体-GB2312" w:eastAsia="CESI黑体-GB2312" w:cs="CESI黑体-GB2312"/>
          <w:sz w:val="36"/>
          <w:szCs w:val="36"/>
          <w:lang w:eastAsia="zh-CN"/>
        </w:rPr>
        <w:t>陕西省省级部门涉企保证金目录清单（</w:t>
      </w:r>
      <w:r>
        <w:rPr>
          <w:rFonts w:hint="eastAsia" w:ascii="CESI黑体-GB2312" w:hAnsi="CESI黑体-GB2312" w:eastAsia="CESI黑体-GB2312" w:cs="CESI黑体-GB2312"/>
          <w:sz w:val="36"/>
          <w:szCs w:val="36"/>
          <w:lang w:val="en-US" w:eastAsia="zh-CN"/>
        </w:rPr>
        <w:t>2025年版</w:t>
      </w:r>
      <w:r>
        <w:rPr>
          <w:rFonts w:hint="eastAsia" w:ascii="CESI黑体-GB2312" w:hAnsi="CESI黑体-GB2312" w:eastAsia="CESI黑体-GB2312" w:cs="CESI黑体-GB2312"/>
          <w:sz w:val="36"/>
          <w:szCs w:val="36"/>
          <w:lang w:eastAsia="zh-CN"/>
        </w:rPr>
        <w:t>）</w:t>
      </w:r>
    </w:p>
    <w:p w14:paraId="13A68342">
      <w:pPr>
        <w:spacing w:line="400" w:lineRule="exact"/>
        <w:jc w:val="center"/>
        <w:rPr>
          <w:rFonts w:ascii="方正小标宋简体" w:eastAsia="方正小标宋简体" w:cs="方正小标宋简体"/>
          <w:sz w:val="36"/>
          <w:szCs w:val="36"/>
        </w:rPr>
      </w:pPr>
    </w:p>
    <w:tbl>
      <w:tblPr>
        <w:tblStyle w:val="2"/>
        <w:tblW w:w="15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75"/>
        <w:gridCol w:w="1635"/>
        <w:gridCol w:w="2268"/>
        <w:gridCol w:w="3447"/>
        <w:gridCol w:w="2115"/>
        <w:gridCol w:w="2418"/>
        <w:gridCol w:w="1992"/>
      </w:tblGrid>
      <w:tr w14:paraId="274C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shd w:val="clear" w:color="auto" w:fill="FFFFFF"/>
            <w:noWrap w:val="0"/>
            <w:vAlign w:val="center"/>
          </w:tcPr>
          <w:p w14:paraId="7B792F83">
            <w:pPr>
              <w:widowControl/>
              <w:snapToGrid w:val="0"/>
              <w:jc w:val="center"/>
              <w:rPr>
                <w:rFonts w:hint="eastAsia" w:ascii="CESI仿宋-GB2312" w:hAnsi="CESI仿宋-GB2312" w:eastAsia="CESI仿宋-GB2312" w:cs="CESI仿宋-GB2312"/>
                <w:b/>
                <w:kern w:val="0"/>
                <w:sz w:val="18"/>
                <w:szCs w:val="18"/>
                <w:lang w:eastAsia="zh-CN"/>
              </w:rPr>
            </w:pPr>
            <w:r>
              <w:rPr>
                <w:rFonts w:hint="eastAsia" w:ascii="CESI仿宋-GB2312" w:hAnsi="CESI仿宋-GB2312" w:eastAsia="CESI仿宋-GB2312" w:cs="CESI仿宋-GB2312"/>
                <w:b/>
                <w:kern w:val="0"/>
                <w:sz w:val="18"/>
                <w:szCs w:val="18"/>
                <w:lang w:eastAsia="zh-CN"/>
              </w:rPr>
              <w:t>序号</w:t>
            </w:r>
          </w:p>
        </w:tc>
        <w:tc>
          <w:tcPr>
            <w:tcW w:w="1275" w:type="dxa"/>
            <w:shd w:val="clear" w:color="auto" w:fill="FFFFFF"/>
            <w:noWrap w:val="0"/>
            <w:vAlign w:val="center"/>
          </w:tcPr>
          <w:p w14:paraId="13D882F3">
            <w:pPr>
              <w:widowControl/>
              <w:snapToGrid w:val="0"/>
              <w:jc w:val="center"/>
              <w:rPr>
                <w:rFonts w:hint="eastAsia" w:ascii="CESI仿宋-GB2312" w:hAnsi="CESI仿宋-GB2312" w:eastAsia="CESI仿宋-GB2312" w:cs="CESI仿宋-GB2312"/>
                <w:b/>
                <w:kern w:val="0"/>
                <w:sz w:val="18"/>
                <w:szCs w:val="18"/>
              </w:rPr>
            </w:pPr>
            <w:r>
              <w:rPr>
                <w:rFonts w:hint="eastAsia" w:ascii="CESI仿宋-GB2312" w:hAnsi="CESI仿宋-GB2312" w:eastAsia="CESI仿宋-GB2312" w:cs="CESI仿宋-GB2312"/>
                <w:b/>
                <w:kern w:val="0"/>
                <w:sz w:val="18"/>
                <w:szCs w:val="18"/>
              </w:rPr>
              <w:t>项目名称</w:t>
            </w:r>
          </w:p>
        </w:tc>
        <w:tc>
          <w:tcPr>
            <w:tcW w:w="1635" w:type="dxa"/>
            <w:shd w:val="clear" w:color="auto" w:fill="FFFFFF"/>
            <w:noWrap w:val="0"/>
            <w:vAlign w:val="center"/>
          </w:tcPr>
          <w:p w14:paraId="1FD8DE34">
            <w:pPr>
              <w:widowControl/>
              <w:snapToGrid w:val="0"/>
              <w:jc w:val="center"/>
              <w:rPr>
                <w:rFonts w:hint="eastAsia" w:ascii="CESI仿宋-GB2312" w:hAnsi="CESI仿宋-GB2312" w:eastAsia="CESI仿宋-GB2312" w:cs="CESI仿宋-GB2312"/>
                <w:b/>
                <w:kern w:val="0"/>
                <w:sz w:val="18"/>
                <w:szCs w:val="18"/>
              </w:rPr>
            </w:pPr>
            <w:r>
              <w:rPr>
                <w:rFonts w:hint="eastAsia" w:ascii="CESI仿宋-GB2312" w:hAnsi="CESI仿宋-GB2312" w:eastAsia="CESI仿宋-GB2312" w:cs="CESI仿宋-GB2312"/>
                <w:b/>
                <w:kern w:val="0"/>
                <w:sz w:val="18"/>
                <w:szCs w:val="18"/>
              </w:rPr>
              <w:t>设立或管理单位</w:t>
            </w:r>
          </w:p>
        </w:tc>
        <w:tc>
          <w:tcPr>
            <w:tcW w:w="2268" w:type="dxa"/>
            <w:shd w:val="clear" w:color="auto" w:fill="FFFFFF"/>
            <w:noWrap w:val="0"/>
            <w:vAlign w:val="center"/>
          </w:tcPr>
          <w:p w14:paraId="361823C9">
            <w:pPr>
              <w:widowControl/>
              <w:snapToGrid w:val="0"/>
              <w:jc w:val="center"/>
              <w:rPr>
                <w:rFonts w:hint="eastAsia" w:ascii="CESI仿宋-GB2312" w:hAnsi="CESI仿宋-GB2312" w:eastAsia="CESI仿宋-GB2312" w:cs="CESI仿宋-GB2312"/>
                <w:b/>
                <w:kern w:val="0"/>
                <w:sz w:val="18"/>
                <w:szCs w:val="18"/>
              </w:rPr>
            </w:pPr>
            <w:r>
              <w:rPr>
                <w:rFonts w:hint="eastAsia" w:ascii="CESI仿宋-GB2312" w:hAnsi="CESI仿宋-GB2312" w:eastAsia="CESI仿宋-GB2312" w:cs="CESI仿宋-GB2312"/>
                <w:b/>
                <w:kern w:val="0"/>
                <w:sz w:val="18"/>
                <w:szCs w:val="18"/>
              </w:rPr>
              <w:t>设立依据</w:t>
            </w:r>
          </w:p>
        </w:tc>
        <w:tc>
          <w:tcPr>
            <w:tcW w:w="3447" w:type="dxa"/>
            <w:shd w:val="clear" w:color="auto" w:fill="FFFFFF"/>
            <w:noWrap w:val="0"/>
            <w:vAlign w:val="center"/>
          </w:tcPr>
          <w:p w14:paraId="779AD3E4">
            <w:pPr>
              <w:widowControl/>
              <w:snapToGrid w:val="0"/>
              <w:jc w:val="center"/>
              <w:rPr>
                <w:rFonts w:hint="eastAsia" w:ascii="CESI仿宋-GB2312" w:hAnsi="CESI仿宋-GB2312" w:eastAsia="CESI仿宋-GB2312" w:cs="CESI仿宋-GB2312"/>
                <w:b/>
                <w:kern w:val="0"/>
                <w:sz w:val="18"/>
                <w:szCs w:val="18"/>
              </w:rPr>
            </w:pPr>
            <w:r>
              <w:rPr>
                <w:rFonts w:hint="eastAsia" w:ascii="CESI仿宋-GB2312" w:hAnsi="CESI仿宋-GB2312" w:eastAsia="CESI仿宋-GB2312" w:cs="CESI仿宋-GB2312"/>
                <w:b/>
                <w:kern w:val="0"/>
                <w:sz w:val="18"/>
                <w:szCs w:val="18"/>
              </w:rPr>
              <w:t>征收标准</w:t>
            </w:r>
          </w:p>
        </w:tc>
        <w:tc>
          <w:tcPr>
            <w:tcW w:w="2115" w:type="dxa"/>
            <w:shd w:val="clear" w:color="auto" w:fill="FFFFFF"/>
            <w:noWrap w:val="0"/>
            <w:vAlign w:val="center"/>
          </w:tcPr>
          <w:p w14:paraId="133EFEF6">
            <w:pPr>
              <w:widowControl/>
              <w:snapToGrid w:val="0"/>
              <w:jc w:val="center"/>
              <w:rPr>
                <w:rFonts w:hint="eastAsia" w:ascii="CESI仿宋-GB2312" w:hAnsi="CESI仿宋-GB2312" w:eastAsia="CESI仿宋-GB2312" w:cs="CESI仿宋-GB2312"/>
                <w:b/>
                <w:kern w:val="0"/>
                <w:sz w:val="18"/>
                <w:szCs w:val="18"/>
              </w:rPr>
            </w:pPr>
            <w:r>
              <w:rPr>
                <w:rFonts w:hint="eastAsia" w:ascii="CESI仿宋-GB2312" w:hAnsi="CESI仿宋-GB2312" w:eastAsia="CESI仿宋-GB2312" w:cs="CESI仿宋-GB2312"/>
                <w:b/>
                <w:kern w:val="0"/>
                <w:sz w:val="18"/>
                <w:szCs w:val="18"/>
              </w:rPr>
              <w:t>征收方式</w:t>
            </w:r>
          </w:p>
        </w:tc>
        <w:tc>
          <w:tcPr>
            <w:tcW w:w="2418" w:type="dxa"/>
            <w:shd w:val="clear" w:color="auto" w:fill="FFFFFF"/>
            <w:noWrap w:val="0"/>
            <w:vAlign w:val="center"/>
          </w:tcPr>
          <w:p w14:paraId="001579C8">
            <w:pPr>
              <w:widowControl/>
              <w:snapToGrid w:val="0"/>
              <w:jc w:val="center"/>
              <w:rPr>
                <w:rFonts w:hint="eastAsia" w:ascii="CESI仿宋-GB2312" w:hAnsi="CESI仿宋-GB2312" w:eastAsia="CESI仿宋-GB2312" w:cs="CESI仿宋-GB2312"/>
                <w:b/>
                <w:kern w:val="0"/>
                <w:sz w:val="18"/>
                <w:szCs w:val="18"/>
              </w:rPr>
            </w:pPr>
            <w:r>
              <w:rPr>
                <w:rFonts w:hint="eastAsia" w:ascii="CESI仿宋-GB2312" w:hAnsi="CESI仿宋-GB2312" w:eastAsia="CESI仿宋-GB2312" w:cs="CESI仿宋-GB2312"/>
                <w:b/>
                <w:kern w:val="0"/>
                <w:sz w:val="18"/>
                <w:szCs w:val="18"/>
              </w:rPr>
              <w:t>征收程序</w:t>
            </w:r>
          </w:p>
        </w:tc>
        <w:tc>
          <w:tcPr>
            <w:tcW w:w="1992" w:type="dxa"/>
            <w:shd w:val="clear" w:color="auto" w:fill="FFFFFF"/>
            <w:noWrap w:val="0"/>
            <w:vAlign w:val="center"/>
          </w:tcPr>
          <w:p w14:paraId="61F3C015">
            <w:pPr>
              <w:widowControl/>
              <w:snapToGrid w:val="0"/>
              <w:jc w:val="center"/>
              <w:rPr>
                <w:rFonts w:hint="eastAsia" w:ascii="CESI仿宋-GB2312" w:hAnsi="CESI仿宋-GB2312" w:eastAsia="CESI仿宋-GB2312" w:cs="CESI仿宋-GB2312"/>
                <w:b/>
                <w:kern w:val="0"/>
                <w:sz w:val="18"/>
                <w:szCs w:val="18"/>
              </w:rPr>
            </w:pPr>
            <w:r>
              <w:rPr>
                <w:rFonts w:hint="eastAsia" w:ascii="CESI仿宋-GB2312" w:hAnsi="CESI仿宋-GB2312" w:eastAsia="CESI仿宋-GB2312" w:cs="CESI仿宋-GB2312"/>
                <w:b/>
                <w:kern w:val="0"/>
                <w:sz w:val="18"/>
                <w:szCs w:val="18"/>
              </w:rPr>
              <w:t>返还时间</w:t>
            </w:r>
          </w:p>
        </w:tc>
      </w:tr>
      <w:tr w14:paraId="51AC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634" w:type="dxa"/>
            <w:noWrap w:val="0"/>
            <w:vAlign w:val="center"/>
          </w:tcPr>
          <w:p w14:paraId="4E0EFE9E">
            <w:pPr>
              <w:widowControl/>
              <w:jc w:val="center"/>
              <w:rPr>
                <w:rFonts w:hint="eastAsia"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1</w:t>
            </w:r>
          </w:p>
        </w:tc>
        <w:tc>
          <w:tcPr>
            <w:tcW w:w="1275" w:type="dxa"/>
            <w:noWrap w:val="0"/>
            <w:vAlign w:val="center"/>
          </w:tcPr>
          <w:p w14:paraId="4B4250A4">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投标保证金</w:t>
            </w:r>
          </w:p>
        </w:tc>
        <w:tc>
          <w:tcPr>
            <w:tcW w:w="1635" w:type="dxa"/>
            <w:noWrap w:val="0"/>
            <w:vAlign w:val="center"/>
          </w:tcPr>
          <w:p w14:paraId="4C86F884">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设立：</w:t>
            </w:r>
            <w:r>
              <w:rPr>
                <w:rFonts w:hint="eastAsia" w:ascii="CESI仿宋-GB2312" w:hAnsi="CESI仿宋-GB2312" w:eastAsia="CESI仿宋-GB2312" w:cs="CESI仿宋-GB2312"/>
                <w:kern w:val="0"/>
                <w:sz w:val="18"/>
                <w:szCs w:val="18"/>
              </w:rPr>
              <w:t>国家发展</w:t>
            </w:r>
            <w:r>
              <w:rPr>
                <w:rFonts w:hint="eastAsia" w:ascii="CESI仿宋-GB2312" w:hAnsi="CESI仿宋-GB2312" w:eastAsia="CESI仿宋-GB2312" w:cs="CESI仿宋-GB2312"/>
                <w:kern w:val="0"/>
                <w:sz w:val="18"/>
                <w:szCs w:val="18"/>
                <w:lang w:eastAsia="zh-CN"/>
              </w:rPr>
              <w:t>和</w:t>
            </w:r>
            <w:r>
              <w:rPr>
                <w:rFonts w:hint="eastAsia" w:ascii="CESI仿宋-GB2312" w:hAnsi="CESI仿宋-GB2312" w:eastAsia="CESI仿宋-GB2312" w:cs="CESI仿宋-GB2312"/>
                <w:kern w:val="0"/>
                <w:sz w:val="18"/>
                <w:szCs w:val="18"/>
              </w:rPr>
              <w:t>改革</w:t>
            </w:r>
            <w:r>
              <w:rPr>
                <w:rFonts w:hint="eastAsia" w:ascii="CESI仿宋-GB2312" w:hAnsi="CESI仿宋-GB2312" w:eastAsia="CESI仿宋-GB2312" w:cs="CESI仿宋-GB2312"/>
                <w:kern w:val="0"/>
                <w:sz w:val="18"/>
                <w:szCs w:val="18"/>
                <w:lang w:eastAsia="zh-CN"/>
              </w:rPr>
              <w:t>委员会</w:t>
            </w:r>
          </w:p>
          <w:p w14:paraId="3A600CF1">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管理：省发展和改革委员会</w:t>
            </w:r>
          </w:p>
        </w:tc>
        <w:tc>
          <w:tcPr>
            <w:tcW w:w="2268" w:type="dxa"/>
            <w:noWrap w:val="0"/>
            <w:vAlign w:val="center"/>
          </w:tcPr>
          <w:p w14:paraId="180BD4B0">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《中华人民共和国招标投标法》</w:t>
            </w:r>
          </w:p>
          <w:p w14:paraId="01E44C00">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《中华人民共和国招标投标法实施条例》</w:t>
            </w:r>
          </w:p>
          <w:p w14:paraId="3C5F2D15">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《陕西省实施〈中华人民共和国招投标法〉办法》</w:t>
            </w:r>
          </w:p>
        </w:tc>
        <w:tc>
          <w:tcPr>
            <w:tcW w:w="3447" w:type="dxa"/>
            <w:noWrap w:val="0"/>
            <w:vAlign w:val="center"/>
          </w:tcPr>
          <w:p w14:paraId="683CD617">
            <w:pPr>
              <w:widowControl/>
              <w:rPr>
                <w:rFonts w:hint="default"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rPr>
              <w:t>投标保证金不得超过</w:t>
            </w:r>
            <w:r>
              <w:rPr>
                <w:rFonts w:hint="eastAsia" w:ascii="CESI仿宋-GB2312" w:hAnsi="CESI仿宋-GB2312" w:eastAsia="CESI仿宋-GB2312" w:cs="CESI仿宋-GB2312"/>
                <w:kern w:val="0"/>
                <w:sz w:val="18"/>
                <w:szCs w:val="18"/>
                <w:lang w:eastAsia="zh-CN"/>
              </w:rPr>
              <w:t>投标总价的</w:t>
            </w:r>
            <w:r>
              <w:rPr>
                <w:rFonts w:hint="eastAsia" w:ascii="CESI仿宋-GB2312" w:hAnsi="CESI仿宋-GB2312" w:eastAsia="CESI仿宋-GB2312" w:cs="CESI仿宋-GB2312"/>
                <w:kern w:val="0"/>
                <w:sz w:val="18"/>
                <w:szCs w:val="18"/>
              </w:rPr>
              <w:t>2%</w:t>
            </w:r>
            <w:r>
              <w:rPr>
                <w:rFonts w:hint="eastAsia" w:ascii="CESI仿宋-GB2312" w:hAnsi="CESI仿宋-GB2312" w:eastAsia="CESI仿宋-GB2312" w:cs="CESI仿宋-GB2312"/>
                <w:kern w:val="0"/>
                <w:sz w:val="18"/>
                <w:szCs w:val="18"/>
                <w:lang w:eastAsia="zh-CN"/>
              </w:rPr>
              <w:t>，最高不得超过人民币</w:t>
            </w:r>
            <w:r>
              <w:rPr>
                <w:rFonts w:hint="eastAsia" w:ascii="CESI仿宋-GB2312" w:hAnsi="CESI仿宋-GB2312" w:eastAsia="CESI仿宋-GB2312" w:cs="CESI仿宋-GB2312"/>
                <w:kern w:val="0"/>
                <w:sz w:val="18"/>
                <w:szCs w:val="18"/>
                <w:lang w:val="en-US" w:eastAsia="zh-CN"/>
              </w:rPr>
              <w:t>80万元。</w:t>
            </w:r>
          </w:p>
        </w:tc>
        <w:tc>
          <w:tcPr>
            <w:tcW w:w="2115" w:type="dxa"/>
            <w:noWrap w:val="0"/>
            <w:vAlign w:val="center"/>
          </w:tcPr>
          <w:p w14:paraId="0A3227BB">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鼓励招标人接受担保机构的保函、保险机构的保单等其他非现金交易担保方式缴纳保证金。依法必须招标项目的招标人不得强制要求投标人、中标人缴纳现金保证金</w:t>
            </w:r>
            <w:r>
              <w:rPr>
                <w:rFonts w:hint="eastAsia" w:ascii="CESI仿宋-GB2312" w:hAnsi="CESI仿宋-GB2312" w:eastAsia="CESI仿宋-GB2312" w:cs="CESI仿宋-GB2312"/>
                <w:kern w:val="0"/>
                <w:sz w:val="18"/>
                <w:szCs w:val="18"/>
                <w:lang w:eastAsia="zh-CN"/>
              </w:rPr>
              <w:t>。</w:t>
            </w:r>
          </w:p>
        </w:tc>
        <w:tc>
          <w:tcPr>
            <w:tcW w:w="2418" w:type="dxa"/>
            <w:noWrap w:val="0"/>
            <w:vAlign w:val="center"/>
          </w:tcPr>
          <w:p w14:paraId="1CDA12C8">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根据招标文件具体要求执行</w:t>
            </w:r>
            <w:r>
              <w:rPr>
                <w:rFonts w:hint="eastAsia" w:ascii="CESI仿宋-GB2312" w:hAnsi="CESI仿宋-GB2312" w:eastAsia="CESI仿宋-GB2312" w:cs="CESI仿宋-GB2312"/>
                <w:kern w:val="0"/>
                <w:sz w:val="18"/>
                <w:szCs w:val="18"/>
                <w:lang w:eastAsia="zh-CN"/>
              </w:rPr>
              <w:t>。</w:t>
            </w:r>
          </w:p>
        </w:tc>
        <w:tc>
          <w:tcPr>
            <w:tcW w:w="1992" w:type="dxa"/>
            <w:noWrap w:val="0"/>
            <w:vAlign w:val="center"/>
          </w:tcPr>
          <w:p w14:paraId="18676678">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招标人应当在</w:t>
            </w:r>
            <w:r>
              <w:rPr>
                <w:rFonts w:hint="eastAsia" w:ascii="CESI仿宋-GB2312" w:hAnsi="CESI仿宋-GB2312" w:eastAsia="CESI仿宋-GB2312" w:cs="CESI仿宋-GB2312"/>
                <w:kern w:val="0"/>
                <w:sz w:val="18"/>
                <w:szCs w:val="18"/>
                <w:lang w:eastAsia="zh-CN"/>
              </w:rPr>
              <w:t>于中标人</w:t>
            </w:r>
            <w:r>
              <w:rPr>
                <w:rFonts w:hint="eastAsia" w:ascii="CESI仿宋-GB2312" w:hAnsi="CESI仿宋-GB2312" w:eastAsia="CESI仿宋-GB2312" w:cs="CESI仿宋-GB2312"/>
                <w:kern w:val="0"/>
                <w:sz w:val="18"/>
                <w:szCs w:val="18"/>
              </w:rPr>
              <w:t>签订</w:t>
            </w:r>
            <w:r>
              <w:rPr>
                <w:rFonts w:hint="eastAsia" w:ascii="CESI仿宋-GB2312" w:hAnsi="CESI仿宋-GB2312" w:eastAsia="CESI仿宋-GB2312" w:cs="CESI仿宋-GB2312"/>
                <w:kern w:val="0"/>
                <w:sz w:val="18"/>
                <w:szCs w:val="18"/>
                <w:lang w:eastAsia="zh-CN"/>
              </w:rPr>
              <w:t>合同</w:t>
            </w:r>
            <w:r>
              <w:rPr>
                <w:rFonts w:hint="eastAsia" w:ascii="CESI仿宋-GB2312" w:hAnsi="CESI仿宋-GB2312" w:eastAsia="CESI仿宋-GB2312" w:cs="CESI仿宋-GB2312"/>
                <w:kern w:val="0"/>
                <w:sz w:val="18"/>
                <w:szCs w:val="18"/>
              </w:rPr>
              <w:t>后5日内</w:t>
            </w:r>
            <w:r>
              <w:rPr>
                <w:rFonts w:hint="eastAsia" w:ascii="CESI仿宋-GB2312" w:hAnsi="CESI仿宋-GB2312" w:eastAsia="CESI仿宋-GB2312" w:cs="CESI仿宋-GB2312"/>
                <w:kern w:val="0"/>
                <w:sz w:val="18"/>
                <w:szCs w:val="18"/>
                <w:lang w:eastAsia="zh-CN"/>
              </w:rPr>
              <w:t>，将投标保证金返还</w:t>
            </w:r>
            <w:r>
              <w:rPr>
                <w:rFonts w:hint="eastAsia" w:ascii="CESI仿宋-GB2312" w:hAnsi="CESI仿宋-GB2312" w:eastAsia="CESI仿宋-GB2312" w:cs="CESI仿宋-GB2312"/>
                <w:kern w:val="0"/>
                <w:sz w:val="18"/>
                <w:szCs w:val="18"/>
              </w:rPr>
              <w:t>中标人和未中标的投标人</w:t>
            </w:r>
            <w:r>
              <w:rPr>
                <w:rFonts w:hint="eastAsia" w:ascii="CESI仿宋-GB2312" w:hAnsi="CESI仿宋-GB2312" w:eastAsia="CESI仿宋-GB2312" w:cs="CESI仿宋-GB2312"/>
                <w:kern w:val="0"/>
                <w:sz w:val="18"/>
                <w:szCs w:val="18"/>
                <w:lang w:eastAsia="zh-CN"/>
              </w:rPr>
              <w:t>；</w:t>
            </w:r>
            <w:r>
              <w:rPr>
                <w:rFonts w:hint="eastAsia" w:ascii="CESI仿宋-GB2312" w:hAnsi="CESI仿宋-GB2312" w:eastAsia="CESI仿宋-GB2312" w:cs="CESI仿宋-GB2312"/>
                <w:sz w:val="18"/>
                <w:szCs w:val="18"/>
              </w:rPr>
              <w:t>或投标人在投标截止时间前书面通知招标人撤回投标文件的，招标人应当自收到投标人书面撤回通知之日起5日内退还投标保证金及银行同期存款利息</w:t>
            </w:r>
            <w:r>
              <w:rPr>
                <w:rFonts w:hint="eastAsia" w:ascii="CESI仿宋-GB2312" w:hAnsi="CESI仿宋-GB2312" w:eastAsia="CESI仿宋-GB2312" w:cs="CESI仿宋-GB2312"/>
                <w:sz w:val="18"/>
                <w:szCs w:val="18"/>
                <w:lang w:eastAsia="zh-CN"/>
              </w:rPr>
              <w:t>。</w:t>
            </w:r>
          </w:p>
        </w:tc>
      </w:tr>
      <w:tr w14:paraId="2F13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noWrap w:val="0"/>
            <w:vAlign w:val="center"/>
          </w:tcPr>
          <w:p w14:paraId="56CC5D81">
            <w:pPr>
              <w:widowControl/>
              <w:jc w:val="center"/>
              <w:rPr>
                <w:rFonts w:hint="eastAsia"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2</w:t>
            </w:r>
          </w:p>
        </w:tc>
        <w:tc>
          <w:tcPr>
            <w:tcW w:w="1275" w:type="dxa"/>
            <w:noWrap w:val="0"/>
            <w:vAlign w:val="center"/>
          </w:tcPr>
          <w:p w14:paraId="3B8922ED">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履约保证金</w:t>
            </w:r>
          </w:p>
        </w:tc>
        <w:tc>
          <w:tcPr>
            <w:tcW w:w="1635" w:type="dxa"/>
            <w:noWrap w:val="0"/>
            <w:vAlign w:val="center"/>
          </w:tcPr>
          <w:p w14:paraId="463A6E08">
            <w:pPr>
              <w:widowControl/>
              <w:jc w:val="both"/>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lang w:eastAsia="zh-CN"/>
              </w:rPr>
              <w:t>设立：</w:t>
            </w:r>
            <w:r>
              <w:rPr>
                <w:rFonts w:hint="eastAsia" w:ascii="CESI仿宋-GB2312" w:hAnsi="CESI仿宋-GB2312" w:eastAsia="CESI仿宋-GB2312" w:cs="CESI仿宋-GB2312"/>
                <w:kern w:val="0"/>
                <w:sz w:val="18"/>
                <w:szCs w:val="18"/>
              </w:rPr>
              <w:t>国家发展</w:t>
            </w:r>
            <w:r>
              <w:rPr>
                <w:rFonts w:hint="eastAsia" w:ascii="CESI仿宋-GB2312" w:hAnsi="CESI仿宋-GB2312" w:eastAsia="CESI仿宋-GB2312" w:cs="CESI仿宋-GB2312"/>
                <w:kern w:val="0"/>
                <w:sz w:val="18"/>
                <w:szCs w:val="18"/>
                <w:lang w:eastAsia="zh-CN"/>
              </w:rPr>
              <w:t>和改革委员会</w:t>
            </w:r>
          </w:p>
          <w:p w14:paraId="597A5978">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管理：省发展和改革委员会</w:t>
            </w:r>
          </w:p>
        </w:tc>
        <w:tc>
          <w:tcPr>
            <w:tcW w:w="2268" w:type="dxa"/>
            <w:noWrap w:val="0"/>
            <w:vAlign w:val="center"/>
          </w:tcPr>
          <w:p w14:paraId="6097A7EB">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《中华人民共和国招标投标法》</w:t>
            </w:r>
          </w:p>
          <w:p w14:paraId="747D5378">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《中华人民共和国招标投标法实施条例》</w:t>
            </w:r>
          </w:p>
        </w:tc>
        <w:tc>
          <w:tcPr>
            <w:tcW w:w="3447" w:type="dxa"/>
            <w:noWrap w:val="0"/>
            <w:vAlign w:val="center"/>
          </w:tcPr>
          <w:p w14:paraId="62EAEA42">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履约保证金不得超过中标合同金额的10%</w:t>
            </w:r>
            <w:r>
              <w:rPr>
                <w:rFonts w:hint="eastAsia" w:ascii="CESI仿宋-GB2312" w:hAnsi="CESI仿宋-GB2312" w:eastAsia="CESI仿宋-GB2312" w:cs="CESI仿宋-GB2312"/>
                <w:kern w:val="0"/>
                <w:sz w:val="18"/>
                <w:szCs w:val="18"/>
                <w:lang w:eastAsia="zh-CN"/>
              </w:rPr>
              <w:t>。</w:t>
            </w:r>
          </w:p>
        </w:tc>
        <w:tc>
          <w:tcPr>
            <w:tcW w:w="2115" w:type="dxa"/>
            <w:noWrap w:val="0"/>
            <w:vAlign w:val="center"/>
          </w:tcPr>
          <w:p w14:paraId="7A14FC55">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鼓励招标人接受担保机构的保函、保险机构的保单等其他非现金交易担保方式缴纳保证金。依法必须招标项目的招标人不得强制要求投标人、中标人缴纳现金保证金</w:t>
            </w:r>
            <w:r>
              <w:rPr>
                <w:rFonts w:hint="eastAsia" w:ascii="CESI仿宋-GB2312" w:hAnsi="CESI仿宋-GB2312" w:eastAsia="CESI仿宋-GB2312" w:cs="CESI仿宋-GB2312"/>
                <w:kern w:val="0"/>
                <w:sz w:val="18"/>
                <w:szCs w:val="18"/>
                <w:lang w:eastAsia="zh-CN"/>
              </w:rPr>
              <w:t>。</w:t>
            </w:r>
          </w:p>
        </w:tc>
        <w:tc>
          <w:tcPr>
            <w:tcW w:w="2418" w:type="dxa"/>
            <w:noWrap w:val="0"/>
            <w:vAlign w:val="center"/>
          </w:tcPr>
          <w:p w14:paraId="3A2F3C53">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根据招标文件具体要求执行</w:t>
            </w:r>
            <w:r>
              <w:rPr>
                <w:rFonts w:hint="eastAsia" w:ascii="CESI仿宋-GB2312" w:hAnsi="CESI仿宋-GB2312" w:eastAsia="CESI仿宋-GB2312" w:cs="CESI仿宋-GB2312"/>
                <w:kern w:val="0"/>
                <w:sz w:val="18"/>
                <w:szCs w:val="18"/>
                <w:lang w:eastAsia="zh-CN"/>
              </w:rPr>
              <w:t>。</w:t>
            </w:r>
          </w:p>
        </w:tc>
        <w:tc>
          <w:tcPr>
            <w:tcW w:w="1992" w:type="dxa"/>
            <w:noWrap w:val="0"/>
            <w:vAlign w:val="center"/>
          </w:tcPr>
          <w:p w14:paraId="46B68A85">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根据中标合同约定，待中标人履行完合同约定权利义务事项后退还</w:t>
            </w:r>
            <w:r>
              <w:rPr>
                <w:rFonts w:hint="eastAsia" w:ascii="CESI仿宋-GB2312" w:hAnsi="CESI仿宋-GB2312" w:eastAsia="CESI仿宋-GB2312" w:cs="CESI仿宋-GB2312"/>
                <w:kern w:val="0"/>
                <w:sz w:val="18"/>
                <w:szCs w:val="18"/>
                <w:lang w:eastAsia="zh-CN"/>
              </w:rPr>
              <w:t>。</w:t>
            </w:r>
          </w:p>
        </w:tc>
      </w:tr>
      <w:tr w14:paraId="3D01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noWrap w:val="0"/>
            <w:vAlign w:val="center"/>
          </w:tcPr>
          <w:p w14:paraId="4AA25609">
            <w:pPr>
              <w:widowControl/>
              <w:jc w:val="center"/>
              <w:rPr>
                <w:rFonts w:hint="eastAsia"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3</w:t>
            </w:r>
          </w:p>
        </w:tc>
        <w:tc>
          <w:tcPr>
            <w:tcW w:w="1275" w:type="dxa"/>
            <w:noWrap w:val="0"/>
            <w:vAlign w:val="center"/>
          </w:tcPr>
          <w:p w14:paraId="67CCDC5B">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政府采购投标（竞争性谈判、询价、竞争性磋商、框架协议等）</w:t>
            </w:r>
          </w:p>
          <w:p w14:paraId="42559616">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保证金</w:t>
            </w:r>
          </w:p>
        </w:tc>
        <w:tc>
          <w:tcPr>
            <w:tcW w:w="1635" w:type="dxa"/>
            <w:noWrap w:val="0"/>
            <w:vAlign w:val="center"/>
          </w:tcPr>
          <w:p w14:paraId="64BB5914">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设立：</w:t>
            </w:r>
            <w:r>
              <w:rPr>
                <w:rFonts w:hint="eastAsia" w:ascii="CESI仿宋-GB2312" w:hAnsi="CESI仿宋-GB2312" w:eastAsia="CESI仿宋-GB2312" w:cs="CESI仿宋-GB2312"/>
                <w:kern w:val="0"/>
                <w:sz w:val="18"/>
                <w:szCs w:val="18"/>
              </w:rPr>
              <w:t>财政部</w:t>
            </w:r>
          </w:p>
          <w:p w14:paraId="0F477C35">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管理：省财政厅</w:t>
            </w:r>
          </w:p>
          <w:p w14:paraId="5FEE3007">
            <w:pPr>
              <w:widowControl/>
              <w:jc w:val="both"/>
              <w:rPr>
                <w:rFonts w:hint="eastAsia" w:ascii="CESI仿宋-GB2312" w:hAnsi="CESI仿宋-GB2312" w:eastAsia="CESI仿宋-GB2312" w:cs="CESI仿宋-GB2312"/>
                <w:kern w:val="0"/>
                <w:sz w:val="18"/>
                <w:szCs w:val="18"/>
                <w:lang w:eastAsia="zh-CN"/>
              </w:rPr>
            </w:pPr>
          </w:p>
        </w:tc>
        <w:tc>
          <w:tcPr>
            <w:tcW w:w="2268" w:type="dxa"/>
            <w:noWrap w:val="0"/>
            <w:vAlign w:val="center"/>
          </w:tcPr>
          <w:p w14:paraId="38F755B3">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《中华人民共和国政府采购法》、《中华人民共和国政府采购法实施条例》</w:t>
            </w:r>
          </w:p>
        </w:tc>
        <w:tc>
          <w:tcPr>
            <w:tcW w:w="3447" w:type="dxa"/>
            <w:noWrap w:val="0"/>
            <w:vAlign w:val="center"/>
          </w:tcPr>
          <w:p w14:paraId="5D201B28">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政府采购投标（竞争性谈判、询价、竞争性磋商、框架协议等）保证金不得超过采购项目预算金额的2%</w:t>
            </w:r>
            <w:r>
              <w:rPr>
                <w:rFonts w:hint="eastAsia" w:ascii="CESI仿宋-GB2312" w:hAnsi="CESI仿宋-GB2312" w:eastAsia="CESI仿宋-GB2312" w:cs="CESI仿宋-GB2312"/>
                <w:kern w:val="0"/>
                <w:sz w:val="18"/>
                <w:szCs w:val="18"/>
                <w:lang w:eastAsia="zh-CN"/>
              </w:rPr>
              <w:t>。</w:t>
            </w:r>
          </w:p>
        </w:tc>
        <w:tc>
          <w:tcPr>
            <w:tcW w:w="2115" w:type="dxa"/>
            <w:noWrap w:val="0"/>
            <w:vAlign w:val="center"/>
          </w:tcPr>
          <w:p w14:paraId="73CE768F">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采购人、采购代理机构应当允许供应商自主选择以支票、汇票、本票、保函（保险）等非现金形式缴纳或提交保证金</w:t>
            </w:r>
            <w:r>
              <w:rPr>
                <w:rFonts w:hint="eastAsia" w:ascii="CESI仿宋-GB2312" w:hAnsi="CESI仿宋-GB2312" w:eastAsia="CESI仿宋-GB2312" w:cs="CESI仿宋-GB2312"/>
                <w:kern w:val="0"/>
                <w:sz w:val="18"/>
                <w:szCs w:val="18"/>
                <w:lang w:eastAsia="zh-CN"/>
              </w:rPr>
              <w:t>。</w:t>
            </w:r>
          </w:p>
        </w:tc>
        <w:tc>
          <w:tcPr>
            <w:tcW w:w="2418" w:type="dxa"/>
            <w:noWrap w:val="0"/>
            <w:vAlign w:val="center"/>
          </w:tcPr>
          <w:p w14:paraId="0EADFD9C">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供应商在提交投标文件（竞争性谈判响应文件、询价响应文件、竞争性磋商响应文件、框架协议响应文件等）时按照采购文件约定一并提交</w:t>
            </w:r>
            <w:r>
              <w:rPr>
                <w:rFonts w:hint="eastAsia" w:ascii="CESI仿宋-GB2312" w:hAnsi="CESI仿宋-GB2312" w:eastAsia="CESI仿宋-GB2312" w:cs="CESI仿宋-GB2312"/>
                <w:kern w:val="0"/>
                <w:sz w:val="18"/>
                <w:szCs w:val="18"/>
                <w:lang w:eastAsia="zh-CN"/>
              </w:rPr>
              <w:t>。</w:t>
            </w:r>
          </w:p>
        </w:tc>
        <w:tc>
          <w:tcPr>
            <w:tcW w:w="1992" w:type="dxa"/>
            <w:noWrap w:val="0"/>
            <w:vAlign w:val="center"/>
          </w:tcPr>
          <w:p w14:paraId="6709228B">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自中标（成交、入围）通知书发出之日起5个工作日内，退还未中标（成交、入围）供应商的保证金；自政府采购合同（框架协议）签订之日起5个工作日内，退还中标（成交、入围）供应商的保证金</w:t>
            </w:r>
            <w:r>
              <w:rPr>
                <w:rFonts w:hint="eastAsia" w:ascii="CESI仿宋-GB2312" w:hAnsi="CESI仿宋-GB2312" w:eastAsia="CESI仿宋-GB2312" w:cs="CESI仿宋-GB2312"/>
                <w:kern w:val="0"/>
                <w:sz w:val="18"/>
                <w:szCs w:val="18"/>
                <w:lang w:eastAsia="zh-CN"/>
              </w:rPr>
              <w:t>。</w:t>
            </w:r>
          </w:p>
        </w:tc>
      </w:tr>
      <w:tr w14:paraId="6A16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noWrap w:val="0"/>
            <w:vAlign w:val="center"/>
          </w:tcPr>
          <w:p w14:paraId="0862F6D7">
            <w:pPr>
              <w:widowControl/>
              <w:jc w:val="center"/>
              <w:rPr>
                <w:rFonts w:hint="eastAsia"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4</w:t>
            </w:r>
          </w:p>
        </w:tc>
        <w:tc>
          <w:tcPr>
            <w:tcW w:w="1275" w:type="dxa"/>
            <w:noWrap w:val="0"/>
            <w:vAlign w:val="center"/>
          </w:tcPr>
          <w:p w14:paraId="097B5B96">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政府采购</w:t>
            </w:r>
          </w:p>
          <w:p w14:paraId="106700D1">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履约保证金</w:t>
            </w:r>
          </w:p>
        </w:tc>
        <w:tc>
          <w:tcPr>
            <w:tcW w:w="1635" w:type="dxa"/>
            <w:noWrap w:val="0"/>
            <w:vAlign w:val="center"/>
          </w:tcPr>
          <w:p w14:paraId="2EE9855E">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设立：</w:t>
            </w:r>
            <w:r>
              <w:rPr>
                <w:rFonts w:hint="eastAsia" w:ascii="CESI仿宋-GB2312" w:hAnsi="CESI仿宋-GB2312" w:eastAsia="CESI仿宋-GB2312" w:cs="CESI仿宋-GB2312"/>
                <w:kern w:val="0"/>
                <w:sz w:val="18"/>
                <w:szCs w:val="18"/>
              </w:rPr>
              <w:t>财政部</w:t>
            </w:r>
          </w:p>
          <w:p w14:paraId="0AAC5E6F">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管理：省财政厅</w:t>
            </w:r>
          </w:p>
          <w:p w14:paraId="056F7132">
            <w:pPr>
              <w:widowControl/>
              <w:jc w:val="both"/>
              <w:rPr>
                <w:rFonts w:hint="eastAsia" w:ascii="CESI仿宋-GB2312" w:hAnsi="CESI仿宋-GB2312" w:eastAsia="CESI仿宋-GB2312" w:cs="CESI仿宋-GB2312"/>
                <w:kern w:val="0"/>
                <w:sz w:val="18"/>
                <w:szCs w:val="18"/>
              </w:rPr>
            </w:pPr>
          </w:p>
        </w:tc>
        <w:tc>
          <w:tcPr>
            <w:tcW w:w="2268" w:type="dxa"/>
            <w:noWrap w:val="0"/>
            <w:vAlign w:val="center"/>
          </w:tcPr>
          <w:p w14:paraId="41271849">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《中华人民共和国政府采购法实施条例》</w:t>
            </w:r>
          </w:p>
        </w:tc>
        <w:tc>
          <w:tcPr>
            <w:tcW w:w="3447" w:type="dxa"/>
            <w:noWrap w:val="0"/>
            <w:vAlign w:val="center"/>
          </w:tcPr>
          <w:p w14:paraId="5DD693D2">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履约保证金不得超过政府采购合同金额的10%</w:t>
            </w:r>
            <w:r>
              <w:rPr>
                <w:rFonts w:hint="eastAsia" w:ascii="CESI仿宋-GB2312" w:hAnsi="CESI仿宋-GB2312" w:eastAsia="CESI仿宋-GB2312" w:cs="CESI仿宋-GB2312"/>
                <w:kern w:val="0"/>
                <w:sz w:val="18"/>
                <w:szCs w:val="18"/>
                <w:lang w:eastAsia="zh-CN"/>
              </w:rPr>
              <w:t>。</w:t>
            </w:r>
          </w:p>
        </w:tc>
        <w:tc>
          <w:tcPr>
            <w:tcW w:w="2115" w:type="dxa"/>
            <w:noWrap w:val="0"/>
            <w:vAlign w:val="center"/>
          </w:tcPr>
          <w:p w14:paraId="4EAE7D79">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采购人、采购代理机构应当允许供应商自主选择以支票、汇票、本票、保函（保险）等非现金形式缴纳或提交保证金</w:t>
            </w:r>
            <w:r>
              <w:rPr>
                <w:rFonts w:hint="eastAsia" w:ascii="CESI仿宋-GB2312" w:hAnsi="CESI仿宋-GB2312" w:eastAsia="CESI仿宋-GB2312" w:cs="CESI仿宋-GB2312"/>
                <w:kern w:val="0"/>
                <w:sz w:val="18"/>
                <w:szCs w:val="18"/>
                <w:lang w:eastAsia="zh-CN"/>
              </w:rPr>
              <w:t>。</w:t>
            </w:r>
          </w:p>
        </w:tc>
        <w:tc>
          <w:tcPr>
            <w:tcW w:w="2418" w:type="dxa"/>
            <w:noWrap w:val="0"/>
            <w:vAlign w:val="center"/>
          </w:tcPr>
          <w:p w14:paraId="47AF1D09">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由中标（成交）供应商与采购人签订采购合同时提交</w:t>
            </w:r>
            <w:r>
              <w:rPr>
                <w:rFonts w:hint="eastAsia" w:ascii="CESI仿宋-GB2312" w:hAnsi="CESI仿宋-GB2312" w:eastAsia="CESI仿宋-GB2312" w:cs="CESI仿宋-GB2312"/>
                <w:kern w:val="0"/>
                <w:sz w:val="18"/>
                <w:szCs w:val="18"/>
                <w:lang w:eastAsia="zh-CN"/>
              </w:rPr>
              <w:t>。</w:t>
            </w:r>
          </w:p>
        </w:tc>
        <w:tc>
          <w:tcPr>
            <w:tcW w:w="1992" w:type="dxa"/>
            <w:noWrap w:val="0"/>
            <w:vAlign w:val="center"/>
          </w:tcPr>
          <w:p w14:paraId="7EAF8541">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由采购人根据采购合同约定，待供应商履行完合同约定权利义务事项后退还</w:t>
            </w:r>
            <w:r>
              <w:rPr>
                <w:rFonts w:hint="eastAsia" w:ascii="CESI仿宋-GB2312" w:hAnsi="CESI仿宋-GB2312" w:eastAsia="CESI仿宋-GB2312" w:cs="CESI仿宋-GB2312"/>
                <w:kern w:val="0"/>
                <w:sz w:val="18"/>
                <w:szCs w:val="18"/>
                <w:lang w:eastAsia="zh-CN"/>
              </w:rPr>
              <w:t>。</w:t>
            </w:r>
          </w:p>
        </w:tc>
      </w:tr>
      <w:tr w14:paraId="6328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noWrap w:val="0"/>
            <w:vAlign w:val="center"/>
          </w:tcPr>
          <w:p w14:paraId="01AB161F">
            <w:pPr>
              <w:widowControl/>
              <w:jc w:val="center"/>
              <w:rPr>
                <w:rFonts w:hint="eastAsia"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5</w:t>
            </w:r>
          </w:p>
        </w:tc>
        <w:tc>
          <w:tcPr>
            <w:tcW w:w="1275" w:type="dxa"/>
            <w:noWrap w:val="0"/>
            <w:vAlign w:val="center"/>
          </w:tcPr>
          <w:p w14:paraId="777B97DD">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工资保证金</w:t>
            </w:r>
          </w:p>
        </w:tc>
        <w:tc>
          <w:tcPr>
            <w:tcW w:w="1635" w:type="dxa"/>
            <w:noWrap w:val="0"/>
            <w:vAlign w:val="center"/>
          </w:tcPr>
          <w:p w14:paraId="2434A6F6">
            <w:pPr>
              <w:widowControl/>
              <w:jc w:val="both"/>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lang w:eastAsia="zh-CN"/>
              </w:rPr>
              <w:t>设立：</w:t>
            </w:r>
            <w:r>
              <w:rPr>
                <w:rFonts w:hint="eastAsia" w:ascii="CESI仿宋-GB2312" w:hAnsi="CESI仿宋-GB2312" w:eastAsia="CESI仿宋-GB2312" w:cs="CESI仿宋-GB2312"/>
                <w:kern w:val="0"/>
                <w:sz w:val="18"/>
                <w:szCs w:val="18"/>
              </w:rPr>
              <w:t>人力资源</w:t>
            </w:r>
            <w:r>
              <w:rPr>
                <w:rFonts w:hint="eastAsia" w:ascii="CESI仿宋-GB2312" w:hAnsi="CESI仿宋-GB2312" w:eastAsia="CESI仿宋-GB2312" w:cs="CESI仿宋-GB2312"/>
                <w:kern w:val="0"/>
                <w:sz w:val="18"/>
                <w:szCs w:val="18"/>
                <w:lang w:eastAsia="zh-CN"/>
              </w:rPr>
              <w:t>和</w:t>
            </w:r>
            <w:r>
              <w:rPr>
                <w:rFonts w:hint="eastAsia" w:ascii="CESI仿宋-GB2312" w:hAnsi="CESI仿宋-GB2312" w:eastAsia="CESI仿宋-GB2312" w:cs="CESI仿宋-GB2312"/>
                <w:kern w:val="0"/>
                <w:sz w:val="18"/>
                <w:szCs w:val="18"/>
              </w:rPr>
              <w:t>社会保障部</w:t>
            </w:r>
          </w:p>
          <w:p w14:paraId="587F025D">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管理：省内各设区市、杨凌示范区人力资源和社会保障行政部门</w:t>
            </w:r>
          </w:p>
        </w:tc>
        <w:tc>
          <w:tcPr>
            <w:tcW w:w="2268" w:type="dxa"/>
            <w:noWrap w:val="0"/>
            <w:vAlign w:val="center"/>
          </w:tcPr>
          <w:p w14:paraId="2CFADBF3">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《国务院关于解决农民工问题的若干意见》（国发〔2006〕5号）</w:t>
            </w:r>
          </w:p>
          <w:p w14:paraId="138B4B56">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《国务院办公厅转发解决企业工资拖欠问题部际联席会议关于推进企业解决工资拖欠问题若干意见的通知》（国办发〔2006〕91号）</w:t>
            </w:r>
          </w:p>
          <w:p w14:paraId="686635A3">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《国务院办公厅关于全面治理拖欠农民工工资问题的意见》（国办发〔2016〕1号）</w:t>
            </w:r>
          </w:p>
          <w:p w14:paraId="4A1B6378">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《国务院办公厅关于清理规范工程建设领域保证金的通知》（国办〔2016〕49号）</w:t>
            </w:r>
          </w:p>
          <w:p w14:paraId="01D41A43">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《保障农民工工资支付条例》（国务院令第724号）</w:t>
            </w:r>
          </w:p>
        </w:tc>
        <w:tc>
          <w:tcPr>
            <w:tcW w:w="3447" w:type="dxa"/>
            <w:noWrap w:val="0"/>
            <w:vAlign w:val="center"/>
          </w:tcPr>
          <w:p w14:paraId="74600CF2">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工资保证金按工程施工合同额的一定比例存储，</w:t>
            </w:r>
            <w:r>
              <w:rPr>
                <w:rFonts w:hint="eastAsia" w:ascii="CESI仿宋-GB2312" w:hAnsi="CESI仿宋-GB2312" w:eastAsia="CESI仿宋-GB2312" w:cs="CESI仿宋-GB2312"/>
                <w:kern w:val="0"/>
                <w:sz w:val="18"/>
                <w:szCs w:val="18"/>
                <w:lang w:eastAsia="zh-CN"/>
              </w:rPr>
              <w:t>工资保证金存储比例为</w:t>
            </w:r>
            <w:r>
              <w:rPr>
                <w:rFonts w:hint="eastAsia" w:ascii="CESI仿宋-GB2312" w:hAnsi="CESI仿宋-GB2312" w:eastAsia="CESI仿宋-GB2312" w:cs="CESI仿宋-GB2312"/>
                <w:kern w:val="0"/>
                <w:sz w:val="18"/>
                <w:szCs w:val="18"/>
              </w:rPr>
              <w:t>1%</w:t>
            </w:r>
            <w:r>
              <w:rPr>
                <w:rFonts w:hint="eastAsia" w:ascii="CESI仿宋-GB2312" w:hAnsi="CESI仿宋-GB2312" w:eastAsia="CESI仿宋-GB2312" w:cs="CESI仿宋-GB2312"/>
                <w:kern w:val="0"/>
                <w:sz w:val="18"/>
                <w:szCs w:val="18"/>
                <w:lang w:eastAsia="zh-CN"/>
              </w:rPr>
              <w:t>。单个项目存储金额不超过人民币</w:t>
            </w:r>
            <w:r>
              <w:rPr>
                <w:rFonts w:hint="eastAsia" w:ascii="CESI仿宋-GB2312" w:hAnsi="CESI仿宋-GB2312" w:eastAsia="CESI仿宋-GB2312" w:cs="CESI仿宋-GB2312"/>
                <w:kern w:val="0"/>
                <w:sz w:val="18"/>
                <w:szCs w:val="18"/>
                <w:lang w:val="en-US" w:eastAsia="zh-CN"/>
              </w:rPr>
              <w:t>500万元。施工总承包单位在同一工资保证金管理地区有两个以上在建工程，第2个项目（以工资保证金备案时间排序）及新增项目存储比例均为0.5%。施工总承包单位存储工资保证金或提交银行保函后，在工资保证金管理地区承建工程连续2年未发生工资拖欠的,其新增工程存储比例降低为0.3%;连续3年未发生工资拖欠且按要求落实用工实名制管理和农民工工资专用账户制度的,其新增工程可免于存储工资保证金。施工总承包单位存储工资保证金或提交银行保函前2年内在工资保证金管理地区发生过拖欠农民工工资行为的，工资保证金存储比例调整为2%；因拖欠农民工工资被纳入“拖欠农民工工资失信联合惩戒对象名单”的，工资保证金存储比例调整为3%。施工合同额人民币300万元以下的工程，可附条件免除该工程存储工资保证金，并出具《农民工工资保证金免存决定书》。工资保证金具体存储比例及浮动办法由省人力资源社会保障行政部门商同级行业工程建设主管部门研究确定。工资保证金存储比例根据全省保障农民工工资支付实际情况每3年动态调整一次，并向社会公布。</w:t>
            </w:r>
          </w:p>
        </w:tc>
        <w:tc>
          <w:tcPr>
            <w:tcW w:w="2115" w:type="dxa"/>
            <w:noWrap w:val="0"/>
            <w:vAlign w:val="center"/>
          </w:tcPr>
          <w:p w14:paraId="15963B7B">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施工总承包单位可选择以银行保函（保险）替代现金存储工资保证金。采用工程担保公司保函（保险）或工程保证保险方式代替工资保证金的，参照银行保函（保险）的相关规定执行</w:t>
            </w:r>
            <w:r>
              <w:rPr>
                <w:rFonts w:hint="eastAsia" w:ascii="CESI仿宋-GB2312" w:hAnsi="CESI仿宋-GB2312" w:eastAsia="CESI仿宋-GB2312" w:cs="CESI仿宋-GB2312"/>
                <w:kern w:val="0"/>
                <w:sz w:val="18"/>
                <w:szCs w:val="18"/>
                <w:lang w:eastAsia="zh-CN"/>
              </w:rPr>
              <w:t>。</w:t>
            </w:r>
          </w:p>
        </w:tc>
        <w:tc>
          <w:tcPr>
            <w:tcW w:w="2418" w:type="dxa"/>
            <w:noWrap w:val="0"/>
            <w:vAlign w:val="center"/>
          </w:tcPr>
          <w:p w14:paraId="49C5A81E">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施工总承包单位应当自工程取得施工许可证（开工报告批复）之日起20个工作日内（依法不需要办理施工许可证或批准开工报告的工程自签订施工合同之日起20个工作日之内），持营业执照副本、与建设单位签订的施工合同在经办银行开立工资保证金专门账户存储工资保证金</w:t>
            </w:r>
            <w:r>
              <w:rPr>
                <w:rFonts w:hint="eastAsia" w:ascii="CESI仿宋-GB2312" w:hAnsi="CESI仿宋-GB2312" w:eastAsia="CESI仿宋-GB2312" w:cs="CESI仿宋-GB2312"/>
                <w:kern w:val="0"/>
                <w:sz w:val="18"/>
                <w:szCs w:val="18"/>
                <w:lang w:eastAsia="zh-CN"/>
              </w:rPr>
              <w:t>。</w:t>
            </w:r>
          </w:p>
        </w:tc>
        <w:tc>
          <w:tcPr>
            <w:tcW w:w="1992" w:type="dxa"/>
            <w:noWrap w:val="0"/>
            <w:vAlign w:val="center"/>
          </w:tcPr>
          <w:p w14:paraId="64835040">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工资保证金对应的工程完工，施工总承包单位作出书面承诺该工程不存在未解决的拖欠农民工工资问题，并在施工现场维权信息告示牌及属地人力资源社会保障行政部门门户网站公示30日后，可以申请返还工资保证金或银行保函（保险）正本。属地人力资源社会保障行政部门应建立工资保证金定期（至少每半年一次）清查机制，对经核实工程完工且不存在拖欠农民工工资问题，施工总承包单位在一定期限内末提交返还申请的，应主动启动返还程序</w:t>
            </w:r>
            <w:r>
              <w:rPr>
                <w:rFonts w:hint="eastAsia" w:ascii="CESI仿宋-GB2312" w:hAnsi="CESI仿宋-GB2312" w:eastAsia="CESI仿宋-GB2312" w:cs="CESI仿宋-GB2312"/>
                <w:kern w:val="0"/>
                <w:sz w:val="18"/>
                <w:szCs w:val="18"/>
                <w:lang w:eastAsia="zh-CN"/>
              </w:rPr>
              <w:t>。</w:t>
            </w:r>
          </w:p>
        </w:tc>
      </w:tr>
      <w:tr w14:paraId="1491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34" w:type="dxa"/>
            <w:noWrap w:val="0"/>
            <w:vAlign w:val="center"/>
          </w:tcPr>
          <w:p w14:paraId="1A56A936">
            <w:pPr>
              <w:widowControl/>
              <w:jc w:val="center"/>
              <w:rPr>
                <w:rFonts w:hint="eastAsia"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6</w:t>
            </w:r>
          </w:p>
        </w:tc>
        <w:tc>
          <w:tcPr>
            <w:tcW w:w="1275" w:type="dxa"/>
            <w:noWrap w:val="0"/>
            <w:vAlign w:val="center"/>
          </w:tcPr>
          <w:p w14:paraId="7B4914C8">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工程质量</w:t>
            </w:r>
          </w:p>
          <w:p w14:paraId="531F5187">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保证金</w:t>
            </w:r>
          </w:p>
        </w:tc>
        <w:tc>
          <w:tcPr>
            <w:tcW w:w="1635" w:type="dxa"/>
            <w:noWrap w:val="0"/>
            <w:vAlign w:val="center"/>
          </w:tcPr>
          <w:p w14:paraId="6CE2ED0B">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设立：</w:t>
            </w:r>
            <w:r>
              <w:rPr>
                <w:rFonts w:hint="eastAsia" w:ascii="CESI仿宋-GB2312" w:hAnsi="CESI仿宋-GB2312" w:eastAsia="CESI仿宋-GB2312" w:cs="CESI仿宋-GB2312"/>
                <w:kern w:val="0"/>
                <w:sz w:val="18"/>
                <w:szCs w:val="18"/>
              </w:rPr>
              <w:t>住房</w:t>
            </w:r>
            <w:r>
              <w:rPr>
                <w:rFonts w:hint="eastAsia" w:ascii="CESI仿宋-GB2312" w:hAnsi="CESI仿宋-GB2312" w:eastAsia="CESI仿宋-GB2312" w:cs="CESI仿宋-GB2312"/>
                <w:kern w:val="0"/>
                <w:sz w:val="18"/>
                <w:szCs w:val="18"/>
                <w:lang w:eastAsia="zh-CN"/>
              </w:rPr>
              <w:t>和</w:t>
            </w:r>
            <w:r>
              <w:rPr>
                <w:rFonts w:hint="eastAsia" w:ascii="CESI仿宋-GB2312" w:hAnsi="CESI仿宋-GB2312" w:eastAsia="CESI仿宋-GB2312" w:cs="CESI仿宋-GB2312"/>
                <w:kern w:val="0"/>
                <w:sz w:val="18"/>
                <w:szCs w:val="18"/>
              </w:rPr>
              <w:t>城乡建设部</w:t>
            </w:r>
            <w:r>
              <w:rPr>
                <w:rFonts w:hint="eastAsia" w:ascii="CESI仿宋-GB2312" w:hAnsi="CESI仿宋-GB2312" w:eastAsia="CESI仿宋-GB2312" w:cs="CESI仿宋-GB2312"/>
                <w:kern w:val="0"/>
                <w:sz w:val="18"/>
                <w:szCs w:val="18"/>
                <w:lang w:eastAsia="zh-CN"/>
              </w:rPr>
              <w:t>、财政部</w:t>
            </w:r>
          </w:p>
          <w:p w14:paraId="18F366FC">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管理：省住房和城乡建设厅、省财政厅</w:t>
            </w:r>
          </w:p>
          <w:p w14:paraId="1E8AB06D">
            <w:pPr>
              <w:widowControl/>
              <w:jc w:val="both"/>
              <w:rPr>
                <w:rFonts w:hint="eastAsia" w:ascii="CESI仿宋-GB2312" w:hAnsi="CESI仿宋-GB2312" w:eastAsia="CESI仿宋-GB2312" w:cs="CESI仿宋-GB2312"/>
                <w:kern w:val="0"/>
                <w:sz w:val="18"/>
                <w:szCs w:val="18"/>
                <w:lang w:eastAsia="zh-CN"/>
              </w:rPr>
            </w:pPr>
          </w:p>
        </w:tc>
        <w:tc>
          <w:tcPr>
            <w:tcW w:w="2268" w:type="dxa"/>
            <w:noWrap w:val="0"/>
            <w:vAlign w:val="center"/>
          </w:tcPr>
          <w:p w14:paraId="56A46694">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《国务院办公厅关于清理规范工程建设领域保证金的通知》（国办发〔2016〕49号）</w:t>
            </w:r>
          </w:p>
          <w:p w14:paraId="05B9DDA0">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住房城乡建设部、财政部《关于印发建设工程质量保证金管理办法的通知》建质〔2017〕138号</w:t>
            </w:r>
          </w:p>
        </w:tc>
        <w:tc>
          <w:tcPr>
            <w:tcW w:w="3447" w:type="dxa"/>
            <w:noWrap w:val="0"/>
            <w:vAlign w:val="center"/>
          </w:tcPr>
          <w:p w14:paraId="1C718F4F">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保证金预留比例由发承包双方自行约定，但不得高于工程价款结算总额的3%</w:t>
            </w:r>
            <w:r>
              <w:rPr>
                <w:rFonts w:hint="eastAsia" w:ascii="CESI仿宋-GB2312" w:hAnsi="CESI仿宋-GB2312" w:eastAsia="CESI仿宋-GB2312" w:cs="CESI仿宋-GB2312"/>
                <w:kern w:val="0"/>
                <w:sz w:val="18"/>
                <w:szCs w:val="18"/>
                <w:lang w:eastAsia="zh-CN"/>
              </w:rPr>
              <w:t>。</w:t>
            </w:r>
          </w:p>
        </w:tc>
        <w:tc>
          <w:tcPr>
            <w:tcW w:w="2115" w:type="dxa"/>
            <w:noWrap w:val="0"/>
            <w:vAlign w:val="center"/>
          </w:tcPr>
          <w:p w14:paraId="5DE991C7">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承包人可以使用银行保函（保险）替代现金保证金</w:t>
            </w:r>
            <w:r>
              <w:rPr>
                <w:rFonts w:hint="eastAsia" w:ascii="CESI仿宋-GB2312" w:hAnsi="CESI仿宋-GB2312" w:eastAsia="CESI仿宋-GB2312" w:cs="CESI仿宋-GB2312"/>
                <w:kern w:val="0"/>
                <w:sz w:val="18"/>
                <w:szCs w:val="18"/>
                <w:lang w:eastAsia="zh-CN"/>
              </w:rPr>
              <w:t>。</w:t>
            </w:r>
          </w:p>
        </w:tc>
        <w:tc>
          <w:tcPr>
            <w:tcW w:w="2418" w:type="dxa"/>
            <w:noWrap w:val="0"/>
            <w:vAlign w:val="center"/>
          </w:tcPr>
          <w:p w14:paraId="419766F2">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发包人与承包人在建设工程承包合同中约定，从应付的工程款中预留，可以银行保函（保险）方式替代工程质量保证金，采用工程质量担保、工程质量保险等其他保证方式的不得预留工程质量保证金。承包人缴纳履约保证金的，发包人不得同时预留工程质量保证金</w:t>
            </w:r>
            <w:r>
              <w:rPr>
                <w:rFonts w:hint="eastAsia" w:ascii="CESI仿宋-GB2312" w:hAnsi="CESI仿宋-GB2312" w:eastAsia="CESI仿宋-GB2312" w:cs="CESI仿宋-GB2312"/>
                <w:kern w:val="0"/>
                <w:sz w:val="18"/>
                <w:szCs w:val="18"/>
                <w:lang w:eastAsia="zh-CN"/>
              </w:rPr>
              <w:t>。</w:t>
            </w:r>
          </w:p>
        </w:tc>
        <w:tc>
          <w:tcPr>
            <w:tcW w:w="1992" w:type="dxa"/>
            <w:noWrap w:val="0"/>
            <w:vAlign w:val="center"/>
          </w:tcPr>
          <w:p w14:paraId="0946B2B5">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缺陷责任期结束后，承包人可向发包人提出返还保证金申请。发包人在接到承包人返还保证金申请后，应于14天内会同承包人按照合同约定的内容进行核实。如无异议，发包人应当按照约定将保证金返还给承包人</w:t>
            </w:r>
            <w:r>
              <w:rPr>
                <w:rFonts w:hint="eastAsia" w:ascii="CESI仿宋-GB2312" w:hAnsi="CESI仿宋-GB2312" w:eastAsia="CESI仿宋-GB2312" w:cs="CESI仿宋-GB2312"/>
                <w:kern w:val="0"/>
                <w:sz w:val="18"/>
                <w:szCs w:val="18"/>
                <w:lang w:eastAsia="zh-CN"/>
              </w:rPr>
              <w:t>。</w:t>
            </w:r>
          </w:p>
        </w:tc>
      </w:tr>
      <w:tr w14:paraId="2C43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634" w:type="dxa"/>
            <w:noWrap w:val="0"/>
            <w:vAlign w:val="center"/>
          </w:tcPr>
          <w:p w14:paraId="165E37E6">
            <w:pPr>
              <w:widowControl/>
              <w:jc w:val="center"/>
              <w:rPr>
                <w:rFonts w:hint="eastAsia"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7</w:t>
            </w:r>
          </w:p>
        </w:tc>
        <w:tc>
          <w:tcPr>
            <w:tcW w:w="1275" w:type="dxa"/>
            <w:noWrap w:val="0"/>
            <w:vAlign w:val="center"/>
          </w:tcPr>
          <w:p w14:paraId="35CB90B5">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对外劳务合作风险处置备用金</w:t>
            </w:r>
          </w:p>
        </w:tc>
        <w:tc>
          <w:tcPr>
            <w:tcW w:w="1635" w:type="dxa"/>
            <w:noWrap w:val="0"/>
            <w:vAlign w:val="center"/>
          </w:tcPr>
          <w:p w14:paraId="753D31BD">
            <w:pPr>
              <w:widowControl/>
              <w:jc w:val="both"/>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lang w:eastAsia="zh-CN"/>
              </w:rPr>
              <w:t>设立：</w:t>
            </w:r>
            <w:r>
              <w:rPr>
                <w:rFonts w:hint="eastAsia" w:ascii="CESI仿宋-GB2312" w:hAnsi="CESI仿宋-GB2312" w:eastAsia="CESI仿宋-GB2312" w:cs="CESI仿宋-GB2312"/>
                <w:kern w:val="0"/>
                <w:sz w:val="18"/>
                <w:szCs w:val="18"/>
              </w:rPr>
              <w:t>商务部</w:t>
            </w:r>
          </w:p>
          <w:p w14:paraId="33050353">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管理：省内各设区市、杨凌示范区商务主管部门</w:t>
            </w:r>
          </w:p>
        </w:tc>
        <w:tc>
          <w:tcPr>
            <w:tcW w:w="2268" w:type="dxa"/>
            <w:noWrap w:val="0"/>
            <w:vAlign w:val="center"/>
          </w:tcPr>
          <w:p w14:paraId="285B6C0C">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《对外劳务合作管理条例》</w:t>
            </w:r>
          </w:p>
          <w:p w14:paraId="2D2ED925">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《对外劳务合作风险处置备用金管理办法（试行）》（商务部、财政部令2014年第2号）</w:t>
            </w:r>
          </w:p>
        </w:tc>
        <w:tc>
          <w:tcPr>
            <w:tcW w:w="3447" w:type="dxa"/>
            <w:noWrap w:val="0"/>
            <w:vAlign w:val="center"/>
          </w:tcPr>
          <w:p w14:paraId="38F1B1F0">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对外劳务合作风险处置备用金缴存标准为人民币300万元</w:t>
            </w:r>
            <w:r>
              <w:rPr>
                <w:rFonts w:hint="eastAsia" w:ascii="CESI仿宋-GB2312" w:hAnsi="CESI仿宋-GB2312" w:eastAsia="CESI仿宋-GB2312" w:cs="CESI仿宋-GB2312"/>
                <w:kern w:val="0"/>
                <w:sz w:val="18"/>
                <w:szCs w:val="18"/>
                <w:lang w:eastAsia="zh-CN"/>
              </w:rPr>
              <w:t>。</w:t>
            </w:r>
          </w:p>
        </w:tc>
        <w:tc>
          <w:tcPr>
            <w:tcW w:w="2115" w:type="dxa"/>
            <w:noWrap w:val="0"/>
            <w:vAlign w:val="center"/>
          </w:tcPr>
          <w:p w14:paraId="684DB1EC">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等额银行保函形式缴存</w:t>
            </w:r>
            <w:r>
              <w:rPr>
                <w:rFonts w:hint="eastAsia" w:ascii="CESI仿宋-GB2312" w:hAnsi="CESI仿宋-GB2312" w:eastAsia="CESI仿宋-GB2312" w:cs="CESI仿宋-GB2312"/>
                <w:kern w:val="0"/>
                <w:sz w:val="18"/>
                <w:szCs w:val="18"/>
                <w:lang w:eastAsia="zh-CN"/>
              </w:rPr>
              <w:t>。</w:t>
            </w:r>
          </w:p>
        </w:tc>
        <w:tc>
          <w:tcPr>
            <w:tcW w:w="2418" w:type="dxa"/>
            <w:noWrap w:val="0"/>
            <w:vAlign w:val="center"/>
          </w:tcPr>
          <w:p w14:paraId="15DB688A">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对外劳务合作企业应当自获得对外劳务合作经营资格并在工商行政管理部门登记之日起5个工作日内，在负责审批的商务主管部门指定的银行缴存对外劳务合作风险处置备用金。</w:t>
            </w:r>
          </w:p>
        </w:tc>
        <w:tc>
          <w:tcPr>
            <w:tcW w:w="1992" w:type="dxa"/>
            <w:noWrap w:val="0"/>
            <w:vAlign w:val="center"/>
          </w:tcPr>
          <w:p w14:paraId="75DB1D5B">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对外劳务合作企业停止开展对外劳务合作的，应当对其派出的尚在国外工作的劳务人员作出妥善安排，并将安排方案连同两年内有效的备用金缴存凭证或者保函报商务主管部门备案。对外劳务合作企业自备案之日起两年内未发生针对其的劳务纠纷投诉或者诉讼的，可退还缴存的备用金或允许其撤销保函</w:t>
            </w:r>
            <w:r>
              <w:rPr>
                <w:rFonts w:hint="eastAsia" w:ascii="CESI仿宋-GB2312" w:hAnsi="CESI仿宋-GB2312" w:eastAsia="CESI仿宋-GB2312" w:cs="CESI仿宋-GB2312"/>
                <w:kern w:val="0"/>
                <w:sz w:val="18"/>
                <w:szCs w:val="18"/>
                <w:lang w:eastAsia="zh-CN"/>
              </w:rPr>
              <w:t>。</w:t>
            </w:r>
          </w:p>
        </w:tc>
      </w:tr>
      <w:tr w14:paraId="6617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noWrap w:val="0"/>
            <w:vAlign w:val="center"/>
          </w:tcPr>
          <w:p w14:paraId="4880DF9D">
            <w:pPr>
              <w:widowControl/>
              <w:jc w:val="center"/>
              <w:rPr>
                <w:rFonts w:hint="eastAsia"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8</w:t>
            </w:r>
          </w:p>
        </w:tc>
        <w:tc>
          <w:tcPr>
            <w:tcW w:w="1275" w:type="dxa"/>
            <w:noWrap w:val="0"/>
            <w:vAlign w:val="center"/>
          </w:tcPr>
          <w:p w14:paraId="0011B0E9">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对外承包工程单位备用金</w:t>
            </w:r>
          </w:p>
        </w:tc>
        <w:tc>
          <w:tcPr>
            <w:tcW w:w="1635" w:type="dxa"/>
            <w:noWrap w:val="0"/>
            <w:vAlign w:val="center"/>
          </w:tcPr>
          <w:p w14:paraId="6960FB8D">
            <w:pPr>
              <w:widowControl/>
              <w:jc w:val="both"/>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lang w:eastAsia="zh-CN"/>
              </w:rPr>
              <w:t>设立：</w:t>
            </w:r>
            <w:r>
              <w:rPr>
                <w:rFonts w:hint="eastAsia" w:ascii="CESI仿宋-GB2312" w:hAnsi="CESI仿宋-GB2312" w:eastAsia="CESI仿宋-GB2312" w:cs="CESI仿宋-GB2312"/>
                <w:kern w:val="0"/>
                <w:sz w:val="18"/>
                <w:szCs w:val="18"/>
              </w:rPr>
              <w:t>商务部</w:t>
            </w:r>
          </w:p>
          <w:p w14:paraId="45CECC3C">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管理：省商务厅</w:t>
            </w:r>
          </w:p>
        </w:tc>
        <w:tc>
          <w:tcPr>
            <w:tcW w:w="2268" w:type="dxa"/>
            <w:noWrap w:val="0"/>
            <w:vAlign w:val="center"/>
          </w:tcPr>
          <w:p w14:paraId="3037128E">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《对外承包工程管理条例》</w:t>
            </w:r>
          </w:p>
          <w:p w14:paraId="3F8393D0">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《对外劳务合作风险处置备用金管理办法（试行）》（商务部、财政部令2014年第2号）</w:t>
            </w:r>
          </w:p>
        </w:tc>
        <w:tc>
          <w:tcPr>
            <w:tcW w:w="3447" w:type="dxa"/>
            <w:noWrap w:val="0"/>
            <w:vAlign w:val="center"/>
          </w:tcPr>
          <w:p w14:paraId="6CB43AD6">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对外承包工程单位备用金缴存标准为人民币300万元</w:t>
            </w:r>
            <w:r>
              <w:rPr>
                <w:rFonts w:hint="eastAsia" w:ascii="CESI仿宋-GB2312" w:hAnsi="CESI仿宋-GB2312" w:eastAsia="CESI仿宋-GB2312" w:cs="CESI仿宋-GB2312"/>
                <w:kern w:val="0"/>
                <w:sz w:val="18"/>
                <w:szCs w:val="18"/>
                <w:lang w:eastAsia="zh-CN"/>
              </w:rPr>
              <w:t>。</w:t>
            </w:r>
          </w:p>
        </w:tc>
        <w:tc>
          <w:tcPr>
            <w:tcW w:w="2115" w:type="dxa"/>
            <w:noWrap w:val="0"/>
            <w:vAlign w:val="center"/>
          </w:tcPr>
          <w:p w14:paraId="10200A51">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等额银行保函形式缴存</w:t>
            </w:r>
            <w:r>
              <w:rPr>
                <w:rFonts w:hint="eastAsia" w:ascii="CESI仿宋-GB2312" w:hAnsi="CESI仿宋-GB2312" w:eastAsia="CESI仿宋-GB2312" w:cs="CESI仿宋-GB2312"/>
                <w:kern w:val="0"/>
                <w:sz w:val="18"/>
                <w:szCs w:val="18"/>
                <w:lang w:eastAsia="zh-CN"/>
              </w:rPr>
              <w:t>。</w:t>
            </w:r>
          </w:p>
        </w:tc>
        <w:tc>
          <w:tcPr>
            <w:tcW w:w="2418" w:type="dxa"/>
            <w:noWrap w:val="0"/>
            <w:vAlign w:val="center"/>
          </w:tcPr>
          <w:p w14:paraId="270F3A98">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对外承包工程的单位应当自收到中标文件或签署项目商务合同后15个工作日内，在注册地省级商务主管部门指定的银行缴存备用金</w:t>
            </w:r>
            <w:r>
              <w:rPr>
                <w:rFonts w:hint="eastAsia" w:ascii="CESI仿宋-GB2312" w:hAnsi="CESI仿宋-GB2312" w:eastAsia="CESI仿宋-GB2312" w:cs="CESI仿宋-GB2312"/>
                <w:kern w:val="0"/>
                <w:sz w:val="18"/>
                <w:szCs w:val="18"/>
                <w:lang w:eastAsia="zh-CN"/>
              </w:rPr>
              <w:t>。</w:t>
            </w:r>
          </w:p>
        </w:tc>
        <w:tc>
          <w:tcPr>
            <w:tcW w:w="1992" w:type="dxa"/>
            <w:noWrap w:val="0"/>
            <w:vAlign w:val="center"/>
          </w:tcPr>
          <w:p w14:paraId="5DE0389D">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对外承包工程企业停止开展对外承包工程的，应当对其派出的尚在国外工作的劳务人员作出妥善安排，并将安排方案连同两年内有效的备用金缴存凭证或者保函报商务主管部门备案。对外承包工程企业自备案之日起两年内未发生针对其的劳务纠纷投诉或者诉讼的，可退还缴存的备用金或允许其撤销保函</w:t>
            </w:r>
            <w:r>
              <w:rPr>
                <w:rFonts w:hint="eastAsia" w:ascii="CESI仿宋-GB2312" w:hAnsi="CESI仿宋-GB2312" w:eastAsia="CESI仿宋-GB2312" w:cs="CESI仿宋-GB2312"/>
                <w:kern w:val="0"/>
                <w:sz w:val="18"/>
                <w:szCs w:val="18"/>
                <w:lang w:eastAsia="zh-CN"/>
              </w:rPr>
              <w:t>。</w:t>
            </w:r>
          </w:p>
        </w:tc>
      </w:tr>
      <w:tr w14:paraId="563F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34" w:type="dxa"/>
            <w:noWrap w:val="0"/>
            <w:vAlign w:val="center"/>
          </w:tcPr>
          <w:p w14:paraId="79E9D99B">
            <w:pPr>
              <w:widowControl/>
              <w:jc w:val="center"/>
              <w:rPr>
                <w:rFonts w:hint="eastAsia"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9</w:t>
            </w:r>
          </w:p>
        </w:tc>
        <w:tc>
          <w:tcPr>
            <w:tcW w:w="1275" w:type="dxa"/>
            <w:noWrap w:val="0"/>
            <w:vAlign w:val="center"/>
          </w:tcPr>
          <w:p w14:paraId="1B996C5B">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海关风险类保证金</w:t>
            </w:r>
          </w:p>
        </w:tc>
        <w:tc>
          <w:tcPr>
            <w:tcW w:w="1635" w:type="dxa"/>
            <w:noWrap w:val="0"/>
            <w:vAlign w:val="center"/>
          </w:tcPr>
          <w:p w14:paraId="26BF3227">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设立：</w:t>
            </w:r>
            <w:r>
              <w:rPr>
                <w:rFonts w:hint="eastAsia" w:ascii="CESI仿宋-GB2312" w:hAnsi="CESI仿宋-GB2312" w:eastAsia="CESI仿宋-GB2312" w:cs="CESI仿宋-GB2312"/>
                <w:kern w:val="0"/>
                <w:sz w:val="18"/>
                <w:szCs w:val="18"/>
              </w:rPr>
              <w:t>海关总署</w:t>
            </w:r>
          </w:p>
          <w:p w14:paraId="3DE9744B">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管理：西安海关</w:t>
            </w:r>
          </w:p>
          <w:p w14:paraId="3C798FB1">
            <w:pPr>
              <w:widowControl/>
              <w:jc w:val="both"/>
              <w:rPr>
                <w:rFonts w:hint="eastAsia" w:ascii="CESI仿宋-GB2312" w:hAnsi="CESI仿宋-GB2312" w:eastAsia="CESI仿宋-GB2312" w:cs="CESI仿宋-GB2312"/>
                <w:kern w:val="0"/>
                <w:sz w:val="18"/>
                <w:szCs w:val="18"/>
                <w:lang w:eastAsia="zh-CN"/>
              </w:rPr>
            </w:pPr>
          </w:p>
        </w:tc>
        <w:tc>
          <w:tcPr>
            <w:tcW w:w="2268" w:type="dxa"/>
            <w:noWrap w:val="0"/>
            <w:vAlign w:val="center"/>
          </w:tcPr>
          <w:p w14:paraId="70D7390E">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《中华人民共和国海关法》</w:t>
            </w:r>
          </w:p>
          <w:p w14:paraId="618014F4">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《中华人民共和国海关事务担保条例》</w:t>
            </w:r>
          </w:p>
          <w:p w14:paraId="48ECE187">
            <w:pPr>
              <w:rPr>
                <w:rFonts w:hint="eastAsia" w:ascii="CESI仿宋-GB2312" w:hAnsi="CESI仿宋-GB2312" w:eastAsia="CESI仿宋-GB2312" w:cs="CESI仿宋-GB2312"/>
                <w:sz w:val="18"/>
                <w:szCs w:val="18"/>
              </w:rPr>
            </w:pPr>
          </w:p>
          <w:p w14:paraId="5DE35FF7">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《中华人民共和国海关加工贸易单耗管理办法》（海关总署令第243号）</w:t>
            </w:r>
          </w:p>
          <w:p w14:paraId="4DFFD7B8">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《中华人民共和国海关进出口货物集中申报管理办法》（海关总署令第169号）</w:t>
            </w:r>
          </w:p>
          <w:p w14:paraId="10636B7C">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《中华人民共和国海关加工贸易货物监管办法》(海关总署令第262号）</w:t>
            </w:r>
          </w:p>
        </w:tc>
        <w:tc>
          <w:tcPr>
            <w:tcW w:w="3447" w:type="dxa"/>
            <w:noWrap w:val="0"/>
            <w:vAlign w:val="center"/>
          </w:tcPr>
          <w:p w14:paraId="4B9B51D1">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风险类保证金是风险担保的一种，包括保税货物保证金等类型。当事人提供的担保应当与其需要履行的法律义务相当，除《中华人民共和国海关事务担保条例》第七条第二款规定的情形外，担保金额按照下列标准确定：</w:t>
            </w:r>
          </w:p>
          <w:p w14:paraId="0AAB98D4">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1.为提前放行货物提供的担保，担保金额不得超过可能承担的最高税款总额；</w:t>
            </w:r>
          </w:p>
          <w:p w14:paraId="2DD0242C">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2.为办理特定海关业务提供的担保，担保金额不得超过可能承担的最高税款总额或者海关总署规定的金额；</w:t>
            </w:r>
          </w:p>
          <w:p w14:paraId="72E6D416">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3.因有明显的转移、藏匿应税货物以及其他财产迹象被责令提供的担保，担保金额不得超过可能承担的最高税款总额；</w:t>
            </w:r>
          </w:p>
          <w:p w14:paraId="3E067698">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4.为有关货物、物品、运输工具免予或者解除扣留、封存提供的担保，担保金额不得超过该货物、物品、运输工具的等值价款；</w:t>
            </w:r>
          </w:p>
          <w:p w14:paraId="4514924F">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5.为罚款、违法所得或者依法应当追缴的货物、物品、走私运输工具的等值价款未缴清前出境提供的担保，担保金额应当相当于罚款、违法所得数额或者依法应当追缴的货物、物品、走私运输工具的等值价款</w:t>
            </w:r>
            <w:r>
              <w:rPr>
                <w:rFonts w:hint="eastAsia" w:ascii="CESI仿宋-GB2312" w:hAnsi="CESI仿宋-GB2312" w:eastAsia="CESI仿宋-GB2312" w:cs="CESI仿宋-GB2312"/>
                <w:kern w:val="0"/>
                <w:sz w:val="18"/>
                <w:szCs w:val="18"/>
                <w:lang w:eastAsia="zh-CN"/>
              </w:rPr>
              <w:t>。</w:t>
            </w:r>
          </w:p>
        </w:tc>
        <w:tc>
          <w:tcPr>
            <w:tcW w:w="2115" w:type="dxa"/>
            <w:noWrap w:val="0"/>
            <w:vAlign w:val="center"/>
          </w:tcPr>
          <w:p w14:paraId="58B5832D">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可自主选择现金、保函（保险）形式提供担保</w:t>
            </w:r>
            <w:r>
              <w:rPr>
                <w:rFonts w:hint="eastAsia" w:ascii="CESI仿宋-GB2312" w:hAnsi="CESI仿宋-GB2312" w:eastAsia="CESI仿宋-GB2312" w:cs="CESI仿宋-GB2312"/>
                <w:kern w:val="0"/>
                <w:sz w:val="18"/>
                <w:szCs w:val="18"/>
                <w:lang w:eastAsia="zh-CN"/>
              </w:rPr>
              <w:t>。</w:t>
            </w:r>
          </w:p>
        </w:tc>
        <w:tc>
          <w:tcPr>
            <w:tcW w:w="2418" w:type="dxa"/>
            <w:noWrap w:val="0"/>
            <w:vAlign w:val="center"/>
          </w:tcPr>
          <w:p w14:paraId="2C39ED44">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办理担保，当事人应当提交书面申请以及真实、合法、有效的财产、权利凭证和身份或者资格证明等材料。海关应当自收到当事人提交的材料之日起5个工作日内对相关财产、权利等进行审核，并决定是否接受担保。当事人申请办理总担保的，海关应当在10个工作日内审核并决定是否接受担保</w:t>
            </w:r>
            <w:r>
              <w:rPr>
                <w:rFonts w:hint="eastAsia" w:ascii="CESI仿宋-GB2312" w:hAnsi="CESI仿宋-GB2312" w:eastAsia="CESI仿宋-GB2312" w:cs="CESI仿宋-GB2312"/>
                <w:kern w:val="0"/>
                <w:sz w:val="18"/>
                <w:szCs w:val="18"/>
                <w:lang w:eastAsia="zh-CN"/>
              </w:rPr>
              <w:t>。</w:t>
            </w:r>
          </w:p>
        </w:tc>
        <w:tc>
          <w:tcPr>
            <w:tcW w:w="1992" w:type="dxa"/>
            <w:noWrap w:val="0"/>
            <w:vAlign w:val="center"/>
          </w:tcPr>
          <w:p w14:paraId="323F8515">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有下列情形之一的，海关应当书面通知当事人办理担保财产、权利退还手续：</w:t>
            </w:r>
          </w:p>
          <w:p w14:paraId="2C5F1AE0">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1.当事人已经履行有关法律义务的；</w:t>
            </w:r>
          </w:p>
          <w:p w14:paraId="2B37EAF9">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2.当事人不再从事特定海关业务的；</w:t>
            </w:r>
          </w:p>
          <w:p w14:paraId="1C0C8F54">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3.担保财产、权利被海关采取抵缴措施后仍有剩余的；</w:t>
            </w:r>
          </w:p>
          <w:p w14:paraId="4B4D1D3C">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4.其他需要退还的情形。</w:t>
            </w:r>
          </w:p>
        </w:tc>
      </w:tr>
      <w:tr w14:paraId="5BFA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34" w:type="dxa"/>
            <w:noWrap w:val="0"/>
            <w:vAlign w:val="center"/>
          </w:tcPr>
          <w:p w14:paraId="479ED694">
            <w:pPr>
              <w:widowControl/>
              <w:jc w:val="center"/>
              <w:rPr>
                <w:rFonts w:hint="default"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10</w:t>
            </w:r>
          </w:p>
        </w:tc>
        <w:tc>
          <w:tcPr>
            <w:tcW w:w="1275" w:type="dxa"/>
            <w:noWrap w:val="0"/>
            <w:vAlign w:val="center"/>
          </w:tcPr>
          <w:p w14:paraId="4C5E0F43">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海关税款类保证金</w:t>
            </w:r>
          </w:p>
        </w:tc>
        <w:tc>
          <w:tcPr>
            <w:tcW w:w="1635" w:type="dxa"/>
            <w:noWrap w:val="0"/>
            <w:vAlign w:val="center"/>
          </w:tcPr>
          <w:p w14:paraId="604B2ADB">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设立：</w:t>
            </w:r>
            <w:r>
              <w:rPr>
                <w:rFonts w:hint="eastAsia" w:ascii="CESI仿宋-GB2312" w:hAnsi="CESI仿宋-GB2312" w:eastAsia="CESI仿宋-GB2312" w:cs="CESI仿宋-GB2312"/>
                <w:kern w:val="0"/>
                <w:sz w:val="18"/>
                <w:szCs w:val="18"/>
              </w:rPr>
              <w:t>海关总署</w:t>
            </w:r>
          </w:p>
          <w:p w14:paraId="46732967">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管理：西安海关</w:t>
            </w:r>
          </w:p>
          <w:p w14:paraId="1C703192">
            <w:pPr>
              <w:widowControl/>
              <w:jc w:val="both"/>
              <w:rPr>
                <w:rFonts w:hint="eastAsia" w:ascii="CESI仿宋-GB2312" w:hAnsi="CESI仿宋-GB2312" w:eastAsia="CESI仿宋-GB2312" w:cs="CESI仿宋-GB2312"/>
                <w:kern w:val="0"/>
                <w:sz w:val="18"/>
                <w:szCs w:val="18"/>
              </w:rPr>
            </w:pPr>
          </w:p>
        </w:tc>
        <w:tc>
          <w:tcPr>
            <w:tcW w:w="2268" w:type="dxa"/>
            <w:noWrap w:val="0"/>
            <w:vAlign w:val="center"/>
          </w:tcPr>
          <w:p w14:paraId="66D9F593">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《中华人民共和国海关法》</w:t>
            </w:r>
          </w:p>
          <w:p w14:paraId="5038393C">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《中华人民共和国进出口关税条例》</w:t>
            </w:r>
          </w:p>
          <w:p w14:paraId="2BDD9DDE">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《中华人民共和国海关事务担保条例》</w:t>
            </w:r>
          </w:p>
          <w:p w14:paraId="27553A67">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《中华人民共和国船舶吨税暂行条例》</w:t>
            </w:r>
          </w:p>
          <w:p w14:paraId="7C0080F3">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《中华人民共和国反倾销条例》</w:t>
            </w:r>
          </w:p>
          <w:p w14:paraId="47EFE758">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《中华人民共和国反补贴条例》</w:t>
            </w:r>
          </w:p>
          <w:p w14:paraId="63848473">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《中华人民共和国海关进出口货物征税管理办法》（海关总署令第124号）</w:t>
            </w:r>
          </w:p>
          <w:p w14:paraId="444EB96C">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《中华人民共和国海关进出口货物减免税管理办法》（海关总署令第245号）</w:t>
            </w:r>
          </w:p>
        </w:tc>
        <w:tc>
          <w:tcPr>
            <w:tcW w:w="3447" w:type="dxa"/>
            <w:noWrap w:val="0"/>
            <w:vAlign w:val="center"/>
          </w:tcPr>
          <w:p w14:paraId="4655E515">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税款类保证金是海关税款担保的一种，包括征管、审价、反倾销反补贴、归类、原产地、减免税货物税款担保等类型，担保金额按照下列标准确定：</w:t>
            </w:r>
          </w:p>
          <w:p w14:paraId="2179CF07">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1.为提前放行货物提供的担保，担保金额不得超过可能承担的最高税款总额；</w:t>
            </w:r>
          </w:p>
          <w:p w14:paraId="6C98D5C1">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2.临时反倾销担保金额应当不超过商务部初裁决定确定的倾销幅度。临时反补贴担保金额由国务院关税税则委员会决定;</w:t>
            </w:r>
          </w:p>
          <w:p w14:paraId="66C43043">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3.将减免税货物向银行或者非银行金融机构办理贷款抵押，或将减免税货物移作他用但移作他用时间不能确定的，税款担保金额不得超过减免税货物剩余监管年限可能需要补缴的最高税款总额</w:t>
            </w:r>
            <w:r>
              <w:rPr>
                <w:rFonts w:hint="eastAsia" w:ascii="CESI仿宋-GB2312" w:hAnsi="CESI仿宋-GB2312" w:eastAsia="CESI仿宋-GB2312" w:cs="CESI仿宋-GB2312"/>
                <w:kern w:val="0"/>
                <w:sz w:val="18"/>
                <w:szCs w:val="18"/>
                <w:lang w:eastAsia="zh-CN"/>
              </w:rPr>
              <w:t>。</w:t>
            </w:r>
          </w:p>
        </w:tc>
        <w:tc>
          <w:tcPr>
            <w:tcW w:w="2115" w:type="dxa"/>
            <w:noWrap w:val="0"/>
            <w:vAlign w:val="center"/>
          </w:tcPr>
          <w:p w14:paraId="0FE783D7">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除涉及临时反倾销、临时反补贴措施以外（按照商务部公告要求，企业应向海关提供保证金），企业可自主选择现金、保函（保险）等方式提供担保</w:t>
            </w:r>
            <w:r>
              <w:rPr>
                <w:rFonts w:hint="eastAsia" w:ascii="CESI仿宋-GB2312" w:hAnsi="CESI仿宋-GB2312" w:eastAsia="CESI仿宋-GB2312" w:cs="CESI仿宋-GB2312"/>
                <w:kern w:val="0"/>
                <w:sz w:val="18"/>
                <w:szCs w:val="18"/>
                <w:lang w:eastAsia="zh-CN"/>
              </w:rPr>
              <w:t>。</w:t>
            </w:r>
          </w:p>
        </w:tc>
        <w:tc>
          <w:tcPr>
            <w:tcW w:w="2418" w:type="dxa"/>
            <w:noWrap w:val="0"/>
            <w:vAlign w:val="center"/>
          </w:tcPr>
          <w:p w14:paraId="656CB1ED">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办理担保，当事人应当提交书面申请以及真实、合法、有效的财产、权利凭证和身份或者资格证明等材料。海关应当自收到当事人提交的材料之日起5个工作日内对相关财产、权利等进行审核，并决定是否接受担保。当事人申请办理总担保的，海关应当在10个工作日内审核并决定是否接受担保</w:t>
            </w:r>
            <w:r>
              <w:rPr>
                <w:rFonts w:hint="eastAsia" w:ascii="CESI仿宋-GB2312" w:hAnsi="CESI仿宋-GB2312" w:eastAsia="CESI仿宋-GB2312" w:cs="CESI仿宋-GB2312"/>
                <w:kern w:val="0"/>
                <w:sz w:val="18"/>
                <w:szCs w:val="18"/>
                <w:lang w:eastAsia="zh-CN"/>
              </w:rPr>
              <w:t>。</w:t>
            </w:r>
          </w:p>
        </w:tc>
        <w:tc>
          <w:tcPr>
            <w:tcW w:w="1992" w:type="dxa"/>
            <w:noWrap w:val="0"/>
            <w:vAlign w:val="center"/>
          </w:tcPr>
          <w:p w14:paraId="67D45C86">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有下列情形之一的，海关应当书面通知当事人办理担保财产、权利退还手续：</w:t>
            </w:r>
          </w:p>
          <w:p w14:paraId="12698396">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1.当事人已经履行有关法律义务的；</w:t>
            </w:r>
          </w:p>
          <w:p w14:paraId="0A716D5B">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2.当事人不再从事特定海关业务的；</w:t>
            </w:r>
          </w:p>
          <w:p w14:paraId="0AFBBD92">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3.担保财产、权利被海关采取抵缴措施后仍有剩余的；</w:t>
            </w:r>
          </w:p>
          <w:p w14:paraId="16D3E8A9">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4.其他需要退还的情形。</w:t>
            </w:r>
          </w:p>
          <w:p w14:paraId="2BF93F7D">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在海关批准的担保期限内，纳税义务人未履行纳税义务，对收取税款保证金的，海关应当自担保期限届满之日起5个工作日内完成保证金转为税款的相关手续</w:t>
            </w:r>
            <w:r>
              <w:rPr>
                <w:rFonts w:hint="eastAsia" w:ascii="CESI仿宋-GB2312" w:hAnsi="CESI仿宋-GB2312" w:eastAsia="CESI仿宋-GB2312" w:cs="CESI仿宋-GB2312"/>
                <w:kern w:val="0"/>
                <w:sz w:val="18"/>
                <w:szCs w:val="18"/>
                <w:lang w:eastAsia="zh-CN"/>
              </w:rPr>
              <w:t>。</w:t>
            </w:r>
          </w:p>
        </w:tc>
      </w:tr>
      <w:tr w14:paraId="5DF1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34" w:type="dxa"/>
            <w:noWrap w:val="0"/>
            <w:vAlign w:val="center"/>
          </w:tcPr>
          <w:p w14:paraId="2BBDB5AB">
            <w:pPr>
              <w:widowControl/>
              <w:jc w:val="center"/>
              <w:rPr>
                <w:rFonts w:hint="default"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11</w:t>
            </w:r>
          </w:p>
        </w:tc>
        <w:tc>
          <w:tcPr>
            <w:tcW w:w="1275" w:type="dxa"/>
            <w:noWrap w:val="0"/>
            <w:vAlign w:val="center"/>
          </w:tcPr>
          <w:p w14:paraId="4FB49B30">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海关案件类保证金</w:t>
            </w:r>
          </w:p>
        </w:tc>
        <w:tc>
          <w:tcPr>
            <w:tcW w:w="1635" w:type="dxa"/>
            <w:noWrap w:val="0"/>
            <w:vAlign w:val="center"/>
          </w:tcPr>
          <w:p w14:paraId="11E6B0DC">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设立：</w:t>
            </w:r>
            <w:r>
              <w:rPr>
                <w:rFonts w:hint="eastAsia" w:ascii="CESI仿宋-GB2312" w:hAnsi="CESI仿宋-GB2312" w:eastAsia="CESI仿宋-GB2312" w:cs="CESI仿宋-GB2312"/>
                <w:kern w:val="0"/>
                <w:sz w:val="18"/>
                <w:szCs w:val="18"/>
              </w:rPr>
              <w:t>海关总署</w:t>
            </w:r>
          </w:p>
          <w:p w14:paraId="031A50B4">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管理：西安海关</w:t>
            </w:r>
          </w:p>
          <w:p w14:paraId="5E133D2D">
            <w:pPr>
              <w:widowControl/>
              <w:jc w:val="both"/>
              <w:rPr>
                <w:rFonts w:hint="eastAsia" w:ascii="CESI仿宋-GB2312" w:hAnsi="CESI仿宋-GB2312" w:eastAsia="CESI仿宋-GB2312" w:cs="CESI仿宋-GB2312"/>
                <w:kern w:val="0"/>
                <w:sz w:val="18"/>
                <w:szCs w:val="18"/>
              </w:rPr>
            </w:pPr>
          </w:p>
        </w:tc>
        <w:tc>
          <w:tcPr>
            <w:tcW w:w="2268" w:type="dxa"/>
            <w:noWrap w:val="0"/>
            <w:vAlign w:val="center"/>
          </w:tcPr>
          <w:p w14:paraId="243D3EEF">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《中华人民共和国海关事务担保条例》</w:t>
            </w:r>
          </w:p>
          <w:p w14:paraId="367EBD87">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《中华人民共和国知识产权海关保护条例》</w:t>
            </w:r>
          </w:p>
          <w:p w14:paraId="6AB63F63">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《中华人民共和国海关行政处罚实施条例》</w:t>
            </w:r>
          </w:p>
          <w:p w14:paraId="74FA7949">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《中华人民共和国海关关于&lt;中华人民共和国知识产权海关保护条例&gt;的实施办法》(海关总署令第183号)</w:t>
            </w:r>
          </w:p>
          <w:p w14:paraId="5C214375">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《中华人民共和国海关法》《中华人民共和国海关办理行政处罚案件程序规定》（海关总署令第250号）</w:t>
            </w:r>
          </w:p>
          <w:p w14:paraId="3C0D19B7">
            <w:pPr>
              <w:bidi w:val="0"/>
              <w:rPr>
                <w:rFonts w:hint="eastAsia"/>
                <w:lang w:val="en-US" w:eastAsia="zh-CN"/>
              </w:rPr>
            </w:pPr>
          </w:p>
          <w:p w14:paraId="7F5D34BC">
            <w:pPr>
              <w:bidi w:val="0"/>
              <w:jc w:val="left"/>
              <w:rPr>
                <w:rFonts w:hint="eastAsia"/>
                <w:lang w:val="en-US" w:eastAsia="zh-CN"/>
              </w:rPr>
            </w:pPr>
          </w:p>
        </w:tc>
        <w:tc>
          <w:tcPr>
            <w:tcW w:w="3447" w:type="dxa"/>
            <w:noWrap w:val="0"/>
            <w:vAlign w:val="center"/>
          </w:tcPr>
          <w:p w14:paraId="7A5A32E6">
            <w:pPr>
              <w:widowControl/>
              <w:spacing w:line="300" w:lineRule="exact"/>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案件类保证金包括知识产权海关保护保证金、知识产权反担保担保金和其他案件类保证金，征收标准为：</w:t>
            </w:r>
          </w:p>
          <w:p w14:paraId="338FFB12">
            <w:pPr>
              <w:widowControl/>
              <w:spacing w:line="300" w:lineRule="exact"/>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1.按照依申请保护的知识产权海关保护保证金和知识产权反担保担保金收取标准为与被扣货物等值；</w:t>
            </w:r>
          </w:p>
          <w:p w14:paraId="2904DE19">
            <w:pPr>
              <w:widowControl/>
              <w:spacing w:line="300" w:lineRule="exact"/>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2.按照主动依职权保护的知识产权海关保护保证金收取标准为：货物价值不足人民币2万元的，提供相当于货物价值的担保；货物价值为人民币2万元至20万元的，提供相当于货物价值50％的担保，但担保金额不得少于人民币2万元；货物价值超过人民币20万元的，提供人民币10万元的担保；</w:t>
            </w:r>
          </w:p>
          <w:p w14:paraId="278A5D85">
            <w:pPr>
              <w:widowControl/>
              <w:spacing w:line="300" w:lineRule="exact"/>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3.其他案件类需要提供原则上不低于海关总署规定的可能科处处罚金额的保证金或者其他担保，且应当在海关作出处理决定前缴纳；</w:t>
            </w:r>
          </w:p>
          <w:p w14:paraId="0F8768FE">
            <w:pPr>
              <w:widowControl/>
              <w:spacing w:line="300" w:lineRule="exact"/>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4.经海关总署核准总担保的，对于商标权保护的货物无需另行提交担保</w:t>
            </w:r>
            <w:r>
              <w:rPr>
                <w:rFonts w:hint="eastAsia" w:ascii="CESI仿宋-GB2312" w:hAnsi="CESI仿宋-GB2312" w:eastAsia="CESI仿宋-GB2312" w:cs="CESI仿宋-GB2312"/>
                <w:kern w:val="0"/>
                <w:sz w:val="18"/>
                <w:szCs w:val="18"/>
                <w:lang w:eastAsia="zh-CN"/>
              </w:rPr>
              <w:t>。</w:t>
            </w:r>
          </w:p>
        </w:tc>
        <w:tc>
          <w:tcPr>
            <w:tcW w:w="2115" w:type="dxa"/>
            <w:noWrap w:val="0"/>
            <w:vAlign w:val="center"/>
          </w:tcPr>
          <w:p w14:paraId="270EF0F4">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知识产权海关保护保证金：可自主选择现金、保函等方式提供担保</w:t>
            </w:r>
          </w:p>
          <w:p w14:paraId="473B7263">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知识产权反担保担保金：现金形式提供担保。</w:t>
            </w:r>
          </w:p>
          <w:p w14:paraId="14098843">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行政处罚案件类保证金：可自主选择现金、保函等方式提供担保</w:t>
            </w:r>
            <w:r>
              <w:rPr>
                <w:rFonts w:hint="eastAsia" w:ascii="CESI仿宋-GB2312" w:hAnsi="CESI仿宋-GB2312" w:eastAsia="CESI仿宋-GB2312" w:cs="CESI仿宋-GB2312"/>
                <w:kern w:val="0"/>
                <w:sz w:val="18"/>
                <w:szCs w:val="18"/>
                <w:lang w:eastAsia="zh-CN"/>
              </w:rPr>
              <w:t>。</w:t>
            </w:r>
          </w:p>
          <w:p w14:paraId="70E11466">
            <w:pPr>
              <w:widowControl/>
              <w:rPr>
                <w:rFonts w:hint="eastAsia" w:ascii="CESI仿宋-GB2312" w:hAnsi="CESI仿宋-GB2312" w:eastAsia="CESI仿宋-GB2312" w:cs="CESI仿宋-GB2312"/>
                <w:kern w:val="0"/>
                <w:sz w:val="18"/>
                <w:szCs w:val="18"/>
              </w:rPr>
            </w:pPr>
          </w:p>
        </w:tc>
        <w:tc>
          <w:tcPr>
            <w:tcW w:w="2418" w:type="dxa"/>
            <w:noWrap w:val="0"/>
            <w:vAlign w:val="center"/>
          </w:tcPr>
          <w:p w14:paraId="40351F60">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海关告知当事人提交保证金的金额。当事人交纳保证金后，由海关出具保证金收据</w:t>
            </w:r>
            <w:r>
              <w:rPr>
                <w:rFonts w:hint="eastAsia" w:ascii="CESI仿宋-GB2312" w:hAnsi="CESI仿宋-GB2312" w:eastAsia="CESI仿宋-GB2312" w:cs="CESI仿宋-GB2312"/>
                <w:kern w:val="0"/>
                <w:sz w:val="18"/>
                <w:szCs w:val="18"/>
                <w:lang w:eastAsia="zh-CN"/>
              </w:rPr>
              <w:t>。</w:t>
            </w:r>
          </w:p>
        </w:tc>
        <w:tc>
          <w:tcPr>
            <w:tcW w:w="1992" w:type="dxa"/>
            <w:noWrap w:val="0"/>
            <w:vAlign w:val="center"/>
          </w:tcPr>
          <w:p w14:paraId="62ECBDBD">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1.知识产权海关保护保证金自权利人结清货物处置等有关费用后由海关返还，或根据法院要求执行。</w:t>
            </w:r>
          </w:p>
          <w:p w14:paraId="6D02A425">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2.对于反担保放行货物，权利人未在海关放行货物书面通知送达之日起30个工作日内向海关提交人民法院受理案件通知书复印件的，海关应当返还知识产权反担保担保金；权利人按规定向海关提交人民法院受理案件通知书复印件的，海关根据人民法院判决结果处理知识产权反担保担保金。</w:t>
            </w:r>
          </w:p>
          <w:p w14:paraId="3A44CDE2">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3.其他案件类保证金在当事人履行完有关法律义务后返还。</w:t>
            </w:r>
          </w:p>
        </w:tc>
      </w:tr>
      <w:tr w14:paraId="48E3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2" w:hRule="atLeast"/>
          <w:jc w:val="center"/>
        </w:trPr>
        <w:tc>
          <w:tcPr>
            <w:tcW w:w="634" w:type="dxa"/>
            <w:noWrap w:val="0"/>
            <w:vAlign w:val="center"/>
          </w:tcPr>
          <w:p w14:paraId="25CD9F57">
            <w:pPr>
              <w:widowControl/>
              <w:jc w:val="center"/>
              <w:rPr>
                <w:rFonts w:hint="default"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12</w:t>
            </w:r>
          </w:p>
        </w:tc>
        <w:tc>
          <w:tcPr>
            <w:tcW w:w="1275" w:type="dxa"/>
            <w:noWrap w:val="0"/>
            <w:vAlign w:val="center"/>
          </w:tcPr>
          <w:p w14:paraId="2B1042CB">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旅游服务</w:t>
            </w:r>
          </w:p>
          <w:p w14:paraId="3A15A617">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质量保证金</w:t>
            </w:r>
          </w:p>
        </w:tc>
        <w:tc>
          <w:tcPr>
            <w:tcW w:w="1635" w:type="dxa"/>
            <w:noWrap w:val="0"/>
            <w:vAlign w:val="center"/>
          </w:tcPr>
          <w:p w14:paraId="5F8B0B6D">
            <w:pPr>
              <w:widowControl/>
              <w:jc w:val="both"/>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lang w:eastAsia="zh-CN"/>
              </w:rPr>
              <w:t>设立：</w:t>
            </w:r>
            <w:r>
              <w:rPr>
                <w:rFonts w:hint="eastAsia" w:ascii="CESI仿宋-GB2312" w:hAnsi="CESI仿宋-GB2312" w:eastAsia="CESI仿宋-GB2312" w:cs="CESI仿宋-GB2312"/>
                <w:kern w:val="0"/>
                <w:sz w:val="18"/>
                <w:szCs w:val="18"/>
              </w:rPr>
              <w:t>文化和</w:t>
            </w:r>
          </w:p>
          <w:p w14:paraId="0CD67DC5">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旅游部</w:t>
            </w:r>
          </w:p>
          <w:p w14:paraId="58837313">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管理：省文化和</w:t>
            </w:r>
          </w:p>
          <w:p w14:paraId="53F31851">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旅游厅</w:t>
            </w:r>
          </w:p>
        </w:tc>
        <w:tc>
          <w:tcPr>
            <w:tcW w:w="2268" w:type="dxa"/>
            <w:noWrap w:val="0"/>
            <w:vAlign w:val="center"/>
          </w:tcPr>
          <w:p w14:paraId="1952B4C0">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《中华人民共和国旅游法》</w:t>
            </w:r>
          </w:p>
          <w:p w14:paraId="1EC7B9C1">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《旅行社条例》</w:t>
            </w:r>
          </w:p>
        </w:tc>
        <w:tc>
          <w:tcPr>
            <w:tcW w:w="3447" w:type="dxa"/>
            <w:noWrap w:val="0"/>
            <w:vAlign w:val="center"/>
          </w:tcPr>
          <w:p w14:paraId="4E85B680">
            <w:pPr>
              <w:widowControl/>
              <w:rPr>
                <w:rFonts w:hint="eastAsia" w:ascii="CESI仿宋-GB2312" w:hAnsi="CESI仿宋-GB2312" w:eastAsia="CESI仿宋-GB2312" w:cs="CESI仿宋-GB2312"/>
                <w:kern w:val="0"/>
                <w:sz w:val="18"/>
                <w:szCs w:val="18"/>
                <w:lang w:val="en" w:eastAsia="zh-CN"/>
              </w:rPr>
            </w:pPr>
            <w:r>
              <w:rPr>
                <w:rFonts w:hint="eastAsia" w:ascii="CESI仿宋-GB2312" w:hAnsi="CESI仿宋-GB2312" w:eastAsia="CESI仿宋-GB2312" w:cs="CESI仿宋-GB2312"/>
                <w:kern w:val="0"/>
                <w:sz w:val="18"/>
                <w:szCs w:val="18"/>
              </w:rPr>
              <w:t>经营国内旅游业务和入境旅游业务的旅行社，应当存入旅游服务质量保证金人民币20万元；经营出境旅游业务的旅行社，应当增存旅游服务质量保证金人民币120万元。旅行社每设立一个经营国内旅游业务和入境旅游业务的分社，应当向其保证金账户增存人民币5万元；每设立一个经营出境旅游业务的分社，应当向其保证金账户增存人民币30万元</w:t>
            </w:r>
            <w:r>
              <w:rPr>
                <w:rFonts w:hint="eastAsia" w:ascii="CESI仿宋-GB2312" w:hAnsi="CESI仿宋-GB2312" w:eastAsia="CESI仿宋-GB2312" w:cs="CESI仿宋-GB2312"/>
                <w:kern w:val="0"/>
                <w:sz w:val="18"/>
                <w:szCs w:val="18"/>
                <w:lang w:eastAsia="zh-CN"/>
              </w:rPr>
              <w:t>。</w:t>
            </w:r>
          </w:p>
        </w:tc>
        <w:tc>
          <w:tcPr>
            <w:tcW w:w="2115" w:type="dxa"/>
            <w:noWrap w:val="0"/>
            <w:vAlign w:val="center"/>
          </w:tcPr>
          <w:p w14:paraId="7BDC20D0">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现金或银行担保形式交纳</w:t>
            </w:r>
            <w:r>
              <w:rPr>
                <w:rFonts w:hint="eastAsia" w:ascii="CESI仿宋-GB2312" w:hAnsi="CESI仿宋-GB2312" w:eastAsia="CESI仿宋-GB2312" w:cs="CESI仿宋-GB2312"/>
                <w:kern w:val="0"/>
                <w:sz w:val="18"/>
                <w:szCs w:val="18"/>
                <w:lang w:eastAsia="zh-CN"/>
              </w:rPr>
              <w:t>。</w:t>
            </w:r>
          </w:p>
        </w:tc>
        <w:tc>
          <w:tcPr>
            <w:tcW w:w="2418" w:type="dxa"/>
            <w:noWrap w:val="0"/>
            <w:vAlign w:val="center"/>
          </w:tcPr>
          <w:p w14:paraId="773C154B">
            <w:pPr>
              <w:widowControl/>
              <w:rPr>
                <w:rFonts w:hint="eastAsia" w:ascii="CESI仿宋-GB2312" w:hAnsi="CESI仿宋-GB2312" w:eastAsia="CESI仿宋-GB2312" w:cs="CESI仿宋-GB2312"/>
                <w:kern w:val="0"/>
                <w:sz w:val="18"/>
                <w:szCs w:val="18"/>
                <w:lang w:val="en" w:eastAsia="zh-CN"/>
              </w:rPr>
            </w:pPr>
            <w:r>
              <w:rPr>
                <w:rFonts w:hint="eastAsia" w:ascii="CESI仿宋-GB2312" w:hAnsi="CESI仿宋-GB2312" w:eastAsia="CESI仿宋-GB2312" w:cs="CESI仿宋-GB2312"/>
                <w:kern w:val="0"/>
                <w:sz w:val="18"/>
                <w:szCs w:val="18"/>
              </w:rPr>
              <w:t>旅行社应当自取得旅行社业务经营许可证之日起3个工作日内，在国务院旅游行政主管部门指定的银行开设专门的旅游服务质量保证金账户，存入旅游服务质量保证金，或者向做出许可的旅游行政管理部门提交依法取得的担保额度不低于相应保证金数额的银行担保</w:t>
            </w:r>
            <w:r>
              <w:rPr>
                <w:rFonts w:hint="eastAsia" w:ascii="CESI仿宋-GB2312" w:hAnsi="CESI仿宋-GB2312" w:eastAsia="CESI仿宋-GB2312" w:cs="CESI仿宋-GB2312"/>
                <w:kern w:val="0"/>
                <w:sz w:val="18"/>
                <w:szCs w:val="18"/>
                <w:lang w:val="en" w:eastAsia="zh-CN"/>
              </w:rPr>
              <w:t>。</w:t>
            </w:r>
          </w:p>
        </w:tc>
        <w:tc>
          <w:tcPr>
            <w:tcW w:w="1992" w:type="dxa"/>
            <w:noWrap w:val="0"/>
            <w:vAlign w:val="center"/>
          </w:tcPr>
          <w:p w14:paraId="2E22AEC3">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旅行社自交纳或者补足旅游服务质量保证金之日起三年内未因侵害旅游者合法权益受到行政机关罚款以上处罚的，旅游行政管理部门应当将保证金的交存数额降低50%，并向社会公告。旅行社可凭省、自治区、直辖市旅游行政管理部门出具的凭证减少其保证金。旅行社不再从事旅游业务的，凭旅游行政管理部门出具的凭证，向银行取回保证金</w:t>
            </w:r>
            <w:r>
              <w:rPr>
                <w:rFonts w:hint="eastAsia" w:ascii="CESI仿宋-GB2312" w:hAnsi="CESI仿宋-GB2312" w:eastAsia="CESI仿宋-GB2312" w:cs="CESI仿宋-GB2312"/>
                <w:kern w:val="0"/>
                <w:sz w:val="18"/>
                <w:szCs w:val="18"/>
                <w:lang w:eastAsia="zh-CN"/>
              </w:rPr>
              <w:t>。</w:t>
            </w:r>
          </w:p>
        </w:tc>
      </w:tr>
      <w:tr w14:paraId="0BDB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34" w:type="dxa"/>
            <w:noWrap w:val="0"/>
            <w:vAlign w:val="center"/>
          </w:tcPr>
          <w:p w14:paraId="19DE9B45">
            <w:pPr>
              <w:widowControl/>
              <w:jc w:val="center"/>
              <w:rPr>
                <w:rFonts w:hint="default"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13</w:t>
            </w:r>
          </w:p>
        </w:tc>
        <w:tc>
          <w:tcPr>
            <w:tcW w:w="1275" w:type="dxa"/>
            <w:noWrap w:val="0"/>
            <w:vAlign w:val="center"/>
          </w:tcPr>
          <w:p w14:paraId="6D4394FF">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保险公司</w:t>
            </w:r>
          </w:p>
          <w:p w14:paraId="601B1FD8">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资本保证金</w:t>
            </w:r>
          </w:p>
        </w:tc>
        <w:tc>
          <w:tcPr>
            <w:tcW w:w="1635" w:type="dxa"/>
            <w:noWrap w:val="0"/>
            <w:vAlign w:val="center"/>
          </w:tcPr>
          <w:p w14:paraId="1005DD4D">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设立：国家金融监督管理总局</w:t>
            </w:r>
          </w:p>
          <w:p w14:paraId="78096374">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管理：陕西金融监督管理局</w:t>
            </w:r>
          </w:p>
        </w:tc>
        <w:tc>
          <w:tcPr>
            <w:tcW w:w="2268" w:type="dxa"/>
            <w:noWrap w:val="0"/>
            <w:vAlign w:val="center"/>
          </w:tcPr>
          <w:p w14:paraId="0F947650">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《中华人民共和国保险法》</w:t>
            </w:r>
          </w:p>
          <w:p w14:paraId="610B92D0">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《中国保监会关于印发&lt;保险公司资本保证金管理办法&gt;的通知》（保监发〔2015〕37号）</w:t>
            </w:r>
          </w:p>
        </w:tc>
        <w:tc>
          <w:tcPr>
            <w:tcW w:w="3447" w:type="dxa"/>
            <w:noWrap w:val="0"/>
            <w:vAlign w:val="center"/>
          </w:tcPr>
          <w:p w14:paraId="12C67EA1">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保险公司按照其注册资本总额的20%提取保证金</w:t>
            </w:r>
            <w:r>
              <w:rPr>
                <w:rFonts w:hint="eastAsia" w:ascii="CESI仿宋-GB2312" w:hAnsi="CESI仿宋-GB2312" w:eastAsia="CESI仿宋-GB2312" w:cs="CESI仿宋-GB2312"/>
                <w:kern w:val="0"/>
                <w:sz w:val="18"/>
                <w:szCs w:val="18"/>
                <w:lang w:eastAsia="zh-CN"/>
              </w:rPr>
              <w:t>。</w:t>
            </w:r>
          </w:p>
        </w:tc>
        <w:tc>
          <w:tcPr>
            <w:tcW w:w="2115" w:type="dxa"/>
            <w:noWrap w:val="0"/>
            <w:vAlign w:val="center"/>
          </w:tcPr>
          <w:p w14:paraId="50B98B22">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现金形式缴存</w:t>
            </w:r>
            <w:r>
              <w:rPr>
                <w:rFonts w:hint="eastAsia" w:ascii="CESI仿宋-GB2312" w:hAnsi="CESI仿宋-GB2312" w:eastAsia="CESI仿宋-GB2312" w:cs="CESI仿宋-GB2312"/>
                <w:kern w:val="0"/>
                <w:sz w:val="18"/>
                <w:szCs w:val="18"/>
                <w:lang w:eastAsia="zh-CN"/>
              </w:rPr>
              <w:t>。</w:t>
            </w:r>
          </w:p>
        </w:tc>
        <w:tc>
          <w:tcPr>
            <w:tcW w:w="2418" w:type="dxa"/>
            <w:noWrap w:val="0"/>
            <w:vAlign w:val="center"/>
          </w:tcPr>
          <w:p w14:paraId="2F91E3A3">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保险公司应在金融监管总局批准开业后30个工作日或批准增加注册资本（营运资本）后30个工作日内，将资本保证金按时足额存入符合金融监管总局规定的银行</w:t>
            </w:r>
            <w:r>
              <w:rPr>
                <w:rFonts w:hint="eastAsia" w:ascii="CESI仿宋-GB2312" w:hAnsi="CESI仿宋-GB2312" w:eastAsia="CESI仿宋-GB2312" w:cs="CESI仿宋-GB2312"/>
                <w:kern w:val="0"/>
                <w:sz w:val="18"/>
                <w:szCs w:val="18"/>
                <w:lang w:eastAsia="zh-CN"/>
              </w:rPr>
              <w:t>。</w:t>
            </w:r>
          </w:p>
        </w:tc>
        <w:tc>
          <w:tcPr>
            <w:tcW w:w="1992" w:type="dxa"/>
            <w:noWrap w:val="0"/>
            <w:vAlign w:val="center"/>
          </w:tcPr>
          <w:p w14:paraId="5DB85438">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保险公司在清算时用来偿还债务，或注册资本（营运资金）减少时可动用资本保证金</w:t>
            </w:r>
            <w:r>
              <w:rPr>
                <w:rFonts w:hint="eastAsia" w:ascii="CESI仿宋-GB2312" w:hAnsi="CESI仿宋-GB2312" w:eastAsia="CESI仿宋-GB2312" w:cs="CESI仿宋-GB2312"/>
                <w:kern w:val="0"/>
                <w:sz w:val="18"/>
                <w:szCs w:val="18"/>
                <w:lang w:eastAsia="zh-CN"/>
              </w:rPr>
              <w:t>。</w:t>
            </w:r>
          </w:p>
        </w:tc>
      </w:tr>
      <w:tr w14:paraId="0B87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634" w:type="dxa"/>
            <w:noWrap w:val="0"/>
            <w:vAlign w:val="center"/>
          </w:tcPr>
          <w:p w14:paraId="69916510">
            <w:pPr>
              <w:widowControl/>
              <w:jc w:val="center"/>
              <w:rPr>
                <w:rFonts w:hint="default" w:ascii="CESI仿宋-GB2312" w:hAnsi="CESI仿宋-GB2312" w:eastAsia="CESI仿宋-GB2312" w:cs="CESI仿宋-GB2312"/>
                <w:kern w:val="0"/>
                <w:sz w:val="18"/>
                <w:szCs w:val="18"/>
                <w:lang w:val="en-US" w:eastAsia="zh-CN"/>
              </w:rPr>
            </w:pPr>
            <w:r>
              <w:rPr>
                <w:rFonts w:hint="eastAsia" w:ascii="CESI仿宋-GB2312" w:hAnsi="CESI仿宋-GB2312" w:eastAsia="CESI仿宋-GB2312" w:cs="CESI仿宋-GB2312"/>
                <w:kern w:val="0"/>
                <w:sz w:val="18"/>
                <w:szCs w:val="18"/>
                <w:lang w:val="en-US" w:eastAsia="zh-CN"/>
              </w:rPr>
              <w:t>14</w:t>
            </w:r>
          </w:p>
        </w:tc>
        <w:tc>
          <w:tcPr>
            <w:tcW w:w="1275" w:type="dxa"/>
            <w:noWrap w:val="0"/>
            <w:vAlign w:val="center"/>
          </w:tcPr>
          <w:p w14:paraId="56E67FD9">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保险代理机构和保险经纪人保证金</w:t>
            </w:r>
          </w:p>
        </w:tc>
        <w:tc>
          <w:tcPr>
            <w:tcW w:w="1635" w:type="dxa"/>
            <w:noWrap w:val="0"/>
            <w:vAlign w:val="center"/>
          </w:tcPr>
          <w:p w14:paraId="612560EA">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lang w:eastAsia="zh-CN"/>
              </w:rPr>
              <w:t>设立：国家金融监督管理总局</w:t>
            </w:r>
          </w:p>
          <w:p w14:paraId="0818D538">
            <w:pPr>
              <w:widowControl/>
              <w:jc w:val="both"/>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lang w:eastAsia="zh-CN"/>
              </w:rPr>
              <w:t>管理：陕西金融监督管理局</w:t>
            </w:r>
          </w:p>
        </w:tc>
        <w:tc>
          <w:tcPr>
            <w:tcW w:w="2268" w:type="dxa"/>
            <w:noWrap w:val="0"/>
            <w:vAlign w:val="center"/>
          </w:tcPr>
          <w:p w14:paraId="0BDCB99D">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《中华人民共和国保险法》</w:t>
            </w:r>
          </w:p>
          <w:p w14:paraId="4B9D2181">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《保险代理人监管规定》（中国银行保险监督管理委员会令2020年第11号）</w:t>
            </w:r>
          </w:p>
          <w:p w14:paraId="3DF46AFE">
            <w:pPr>
              <w:widowControl/>
              <w:rPr>
                <w:rFonts w:hint="eastAsia" w:ascii="CESI仿宋-GB2312" w:hAnsi="CESI仿宋-GB2312" w:eastAsia="CESI仿宋-GB2312" w:cs="CESI仿宋-GB2312"/>
                <w:kern w:val="0"/>
                <w:sz w:val="18"/>
                <w:szCs w:val="18"/>
              </w:rPr>
            </w:pPr>
            <w:r>
              <w:rPr>
                <w:rFonts w:hint="eastAsia" w:ascii="CESI仿宋-GB2312" w:hAnsi="CESI仿宋-GB2312" w:eastAsia="CESI仿宋-GB2312" w:cs="CESI仿宋-GB2312"/>
                <w:kern w:val="0"/>
                <w:sz w:val="18"/>
                <w:szCs w:val="18"/>
              </w:rPr>
              <w:t>《保险经纪人监管规定》（中国保险监督管理委员会令2018年第3号）</w:t>
            </w:r>
          </w:p>
          <w:p w14:paraId="6CFEECB5">
            <w:pPr>
              <w:widowControl/>
              <w:rPr>
                <w:rFonts w:hint="eastAsia" w:ascii="CESI仿宋-GB2312" w:hAnsi="CESI仿宋-GB2312" w:eastAsia="CESI仿宋-GB2312" w:cs="CESI仿宋-GB2312"/>
                <w:kern w:val="0"/>
                <w:sz w:val="18"/>
                <w:szCs w:val="18"/>
              </w:rPr>
            </w:pPr>
          </w:p>
        </w:tc>
        <w:tc>
          <w:tcPr>
            <w:tcW w:w="3447" w:type="dxa"/>
            <w:noWrap w:val="0"/>
            <w:vAlign w:val="center"/>
          </w:tcPr>
          <w:p w14:paraId="3A824C37">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保险专业代理机构和保险经纪人应当缴存保证金或者投保职业责任保险。选择缴存保证金的，按保险专业代理机构和保险经纪人注册资本的5%缴存保证金</w:t>
            </w:r>
            <w:r>
              <w:rPr>
                <w:rFonts w:hint="eastAsia" w:ascii="CESI仿宋-GB2312" w:hAnsi="CESI仿宋-GB2312" w:eastAsia="CESI仿宋-GB2312" w:cs="CESI仿宋-GB2312"/>
                <w:kern w:val="0"/>
                <w:sz w:val="18"/>
                <w:szCs w:val="18"/>
                <w:lang w:eastAsia="zh-CN"/>
              </w:rPr>
              <w:t>。</w:t>
            </w:r>
          </w:p>
        </w:tc>
        <w:tc>
          <w:tcPr>
            <w:tcW w:w="2115" w:type="dxa"/>
            <w:noWrap w:val="0"/>
            <w:vAlign w:val="center"/>
          </w:tcPr>
          <w:p w14:paraId="2C16CF27">
            <w:pPr>
              <w:widowControl/>
              <w:jc w:val="both"/>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现金形式缴存</w:t>
            </w:r>
            <w:r>
              <w:rPr>
                <w:rFonts w:hint="eastAsia" w:ascii="CESI仿宋-GB2312" w:hAnsi="CESI仿宋-GB2312" w:eastAsia="CESI仿宋-GB2312" w:cs="CESI仿宋-GB2312"/>
                <w:kern w:val="0"/>
                <w:sz w:val="18"/>
                <w:szCs w:val="18"/>
                <w:lang w:eastAsia="zh-CN"/>
              </w:rPr>
              <w:t>。</w:t>
            </w:r>
          </w:p>
        </w:tc>
        <w:tc>
          <w:tcPr>
            <w:tcW w:w="2418" w:type="dxa"/>
            <w:noWrap w:val="0"/>
            <w:vAlign w:val="center"/>
          </w:tcPr>
          <w:p w14:paraId="766BCC70">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保险专业代理机构、保险经纪人应当自取得许可证之日起20日内，以银行存款形式专户存储到商业银行或以金融监管总局认可的其他形式缴存，并自缴存保证金之日起10日内，将保证金协议存款复印件、保证金入账原始凭证复印件报送金融监管总局</w:t>
            </w:r>
            <w:r>
              <w:rPr>
                <w:rFonts w:hint="eastAsia" w:ascii="CESI仿宋-GB2312" w:hAnsi="CESI仿宋-GB2312" w:eastAsia="CESI仿宋-GB2312" w:cs="CESI仿宋-GB2312"/>
                <w:kern w:val="0"/>
                <w:sz w:val="18"/>
                <w:szCs w:val="18"/>
                <w:lang w:eastAsia="zh-CN"/>
              </w:rPr>
              <w:t>。</w:t>
            </w:r>
          </w:p>
        </w:tc>
        <w:tc>
          <w:tcPr>
            <w:tcW w:w="1992" w:type="dxa"/>
            <w:noWrap w:val="0"/>
            <w:vAlign w:val="center"/>
          </w:tcPr>
          <w:p w14:paraId="4E655297">
            <w:pPr>
              <w:widowControl/>
              <w:rPr>
                <w:rFonts w:hint="eastAsia" w:ascii="CESI仿宋-GB2312" w:hAnsi="CESI仿宋-GB2312" w:eastAsia="CESI仿宋-GB2312" w:cs="CESI仿宋-GB2312"/>
                <w:kern w:val="0"/>
                <w:sz w:val="18"/>
                <w:szCs w:val="18"/>
                <w:lang w:eastAsia="zh-CN"/>
              </w:rPr>
            </w:pPr>
            <w:r>
              <w:rPr>
                <w:rFonts w:hint="eastAsia" w:ascii="CESI仿宋-GB2312" w:hAnsi="CESI仿宋-GB2312" w:eastAsia="CESI仿宋-GB2312" w:cs="CESI仿宋-GB2312"/>
                <w:kern w:val="0"/>
                <w:sz w:val="18"/>
                <w:szCs w:val="18"/>
              </w:rPr>
              <w:t>保险专业代理机构、保险经纪人在注册资本减少、许可证被注销、投保符合条件的职业责任险以及有金融监管总局规定的其他情形时可以动用保证金，并应自动用保证金之日起5日内书面报告金融监管总局</w:t>
            </w:r>
            <w:r>
              <w:rPr>
                <w:rFonts w:hint="eastAsia" w:ascii="CESI仿宋-GB2312" w:hAnsi="CESI仿宋-GB2312" w:eastAsia="CESI仿宋-GB2312" w:cs="CESI仿宋-GB2312"/>
                <w:kern w:val="0"/>
                <w:sz w:val="18"/>
                <w:szCs w:val="18"/>
                <w:lang w:eastAsia="zh-CN"/>
              </w:rPr>
              <w:t>。</w:t>
            </w:r>
          </w:p>
        </w:tc>
      </w:tr>
    </w:tbl>
    <w:p w14:paraId="22A14DF2">
      <w:pPr>
        <w:jc w:val="both"/>
        <w:rPr>
          <w:rFonts w:hint="default" w:ascii="CESI仿宋-GB2312" w:hAnsi="CESI仿宋-GB2312" w:eastAsia="CESI仿宋-GB2312" w:cs="CESI仿宋-GB2312"/>
          <w:sz w:val="32"/>
          <w:szCs w:val="32"/>
          <w:lang w:val="en-US" w:eastAsia="zh-CN"/>
        </w:rPr>
      </w:pPr>
    </w:p>
    <w:p w14:paraId="11A2C20D">
      <w:bookmarkStart w:id="0" w:name="_GoBack"/>
      <w:bookmarkEnd w:id="0"/>
    </w:p>
    <w:sectPr>
      <w:pgSz w:w="16838" w:h="11906" w:orient="landscape"/>
      <w:pgMar w:top="2098" w:right="1587" w:bottom="1984"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C4DA6"/>
    <w:rsid w:val="282C4DA6"/>
    <w:rsid w:val="29477D78"/>
    <w:rsid w:val="4C04246E"/>
    <w:rsid w:val="7571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2025-08-19T03:33:00Z</dcterms:created>
  <dc:creator>WPS_1508635159</dc:creator>
  <cp:lastModifiedBy>WPS_1508635159</cp:lastModifiedBy>
  <dcterms:modified xsi:type="dcterms:W3CDTF">2025-08-19T03:34:39Z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32D0978D4C324E5EA334F8447839F4B1_11</vt:lpwstr>
  </property>
  <property fmtid="{D5CDD505-2E9C-101B-9397-08002B2CF9AE}" pid="4" name="KSOTemplateDocerSaveRecord">
    <vt:lpwstr>eyJoZGlkIjoiNzBhNWUzN2FjZDhmY2Y5MGNhMjU3NjgxODdmZjI0ZjEiLCJ1c2VySWQiOiIzMTU1MzA4ODgifQ==</vt:lpwstr>
  </property>
</Properties>
</file>