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beforeAutospacing="0" w:after="639" w:afterLines="100" w:afterAutospacing="0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</w:rPr>
        <w:t>陕西省202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</w:rPr>
        <w:t>年第一批异地搬迁高新技术企业名单</w:t>
      </w:r>
    </w:p>
    <w:tbl>
      <w:tblPr>
        <w:tblStyle w:val="6"/>
        <w:tblW w:w="14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675"/>
        <w:gridCol w:w="2625"/>
        <w:gridCol w:w="2655"/>
        <w:gridCol w:w="2175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现注册地址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原注册地址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高企证书编号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exact"/>
        </w:trPr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75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instrText xml:space="preserve"> HYPERLINK "https://innocomreport2.chinatorch.org.cn/xinnocommgr/reportdeal/EntMoveServDeptDeal/javascript: void(0)"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陕西兴燃科技有限公司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625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陕西省西咸新区泾河新城氢能产业创新聚集区氢合湾一期4号楼8层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苏州市太仓市城厢镇弇山西路136号9号楼A301-A304</w:t>
            </w:r>
          </w:p>
        </w:tc>
        <w:tc>
          <w:tcPr>
            <w:tcW w:w="2175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GR202332001706</w:t>
            </w:r>
          </w:p>
        </w:tc>
        <w:tc>
          <w:tcPr>
            <w:tcW w:w="2227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C48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C48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2023年11月6日</w:t>
            </w:r>
          </w:p>
        </w:tc>
      </w:tr>
    </w:tbl>
    <w:p/>
    <w:p/>
    <w:sectPr>
      <w:pgSz w:w="16838" w:h="11906" w:orient="landscape"/>
      <w:pgMar w:top="1531" w:right="1701" w:bottom="1417" w:left="1134" w:header="851" w:footer="1191" w:gutter="0"/>
      <w:pgNumType w:fmt="numberInDash"/>
      <w:cols w:space="0" w:num="1"/>
      <w:titlePg/>
      <w:rtlGutter w:val="0"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13ED8"/>
    <w:rsid w:val="78213ED8"/>
    <w:rsid w:val="7B7EE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2025-04-03T14:48:00Z</dcterms:created>
  <dc:creator>admin</dc:creator>
  <cp:lastModifiedBy>user</cp:lastModifiedBy>
  <dcterms:modified xsi:type="dcterms:W3CDTF">2025-04-03T14:58:00Z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