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陕西省创新型中小企业评价标准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一、公告条件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评价得分达到60分以上（其中创新能力指标得分不低于20分、成长性指标及专业化指标得分均不低于15分），或满足下列条件之一：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（一）近三年内获得过国家级、省级科技奖励。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（二）获得高新技术企业、国家级技术创新示范企业、知识产权优势企业和知识产权示范企业等荣誉（均为有效期内）。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（三）拥有经认定的省部级以上研发机构。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（四）近三年内新增股权融资总额（合格机构投资者的实缴额）500万元以上。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二、评价指标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包括创新能力、成长性、专业化三类六个指标，评价结果依分值计算，满分为100分。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（一）创新能力指标（满分40分）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与企业主导产品相关的有效知识产权数量（满分20分）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A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Ⅰ类高价值知识产权1项以上（20分）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B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自主研发的Ⅰ类知识产权1项以上（15分）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C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Ⅰ类知识产权1项以上（10分）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D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Ⅱ类知识产权1项以上（5分）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E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无（0分）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上年度研发费用总额占营业收入总额比重（满分20分）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A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5%以上（20分）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B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3%-5%（15分）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C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2%-3%（10分）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D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1%-2%（5分）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E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1%以下（0分）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（二）成长性指标（满分30分）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上年度主营业务收入增长率（满分20分）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A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15%以上（20分）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B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10%-15%（15分）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C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5%-10%（10分）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D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0%-5%（5分）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E.0%以下（0分）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上年度资产负债率（满分10分）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A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55%以下（10分）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B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55%-75%（5分）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D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75%以上（0分）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（三）专业化指标（满分30分）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主导产品所属领域情况（满分10分）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A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属于《战略性新兴产业分类》（10分）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B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属于其他领域（5分）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上年度主营业务收入总额占营业收入总额比重（满分20分）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A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70%以上（20分）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B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60%-70%（15分）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C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55%-60%（10分）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D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50%-55%（5分）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E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50%以下（0分）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E2F42FA-6EC6-4B0F-97CE-1159D1ED885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方正小标宋简体">
    <w:altName w:val="方正小标宋简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F53BB0E7-B291-49D0-B1D5-B68C56A99587}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  <w:embedRegular r:id="rId3" w:fontKey="{76C57885-8D1C-42AC-8B6A-FF654C2FBDA3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YjgzYTI1OTk2NDg0NTIzMjBlYmZkZWM4ZDZjYTMifQ=="/>
  </w:docVars>
  <w:rsids>
    <w:rsidRoot w:val="31242792"/>
    <w:rsid w:val="3124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华文新魏" w:eastAsia="华文新魏"/>
      <w:sz w:val="36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678</Words>
  <Characters>774</Characters>
  <Lines>0</Lines>
  <Paragraphs>0</Paragraphs>
  <TotalTime>0</TotalTime>
  <ScaleCrop>false</ScaleCrop>
  <LinksUpToDate>false</LinksUpToDate>
  <CharactersWithSpaces>774</CharactersWithSpaces>
  <Application>WPS Office_11.1.0.12974_F1E327BC-269C-435d-A152-05C5408002CA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2022-12-05T09:58:00Z</dcterms:created>
  <dc:creator>Angelia刘雨熙</dc:creator>
  <cp:lastModifiedBy>Angelia刘雨熙</cp:lastModifiedBy>
  <dcterms:modified xsi:type="dcterms:W3CDTF">2022-12-05T09:59:36Z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2052-11.1.0.12974</vt:lpwstr>
  </property>
  <property fmtid="{D5CDD505-2E9C-101B-9397-08002B2CF9AE}" pid="3" name="ICV">
    <vt:lpwstr>753EEF0FA6EC4A199D0869C5237E47E0</vt:lpwstr>
  </property>
</Properties>
</file>