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ind w:firstLine="342" w:firstLineChars="100"/>
        <w:rPr>
          <w:rFonts w:hint="default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2025年拟认定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eastAsia="zh-CN"/>
        </w:rPr>
        <w:t>“亩均论英雄”改革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赋能服务机构名单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7"/>
        <w:gridCol w:w="3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1680" w:firstLineChars="80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33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 服务类型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中国建设银行陕西省分行</w:t>
            </w:r>
          </w:p>
        </w:tc>
        <w:tc>
          <w:tcPr>
            <w:tcW w:w="3365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金融（5）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中国民生银行西安分行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陕西秦农银行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陕西股权交易中心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中科创星科技投资有限公司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西安一二三云计算有限公司</w:t>
            </w:r>
          </w:p>
        </w:tc>
        <w:tc>
          <w:tcPr>
            <w:tcW w:w="3365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人工智能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信息技术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成果转化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西安朝烨阳创信息科技有限公司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陕西省中小企业发展促进中心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陕西省电子信息产品监督检验院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智城数创(西安)科技有限公司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禾佳祥工程咨询有限公司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西安锐思软件技术有限公司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西安隶铭思拓知识产权代理服务有限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公司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陕西智博星策科技有限公司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成都安美勤信息技术股份有限公司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延安大学继续教育学院</w:t>
            </w:r>
          </w:p>
        </w:tc>
        <w:tc>
          <w:tcPr>
            <w:tcW w:w="3365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人才服务（9）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西北政法大学公安学院（公共安全法学院）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陕西农林职业技术大学继续教育与培训学院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西安理工大学继续教育学院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西安工业大学继续教育学院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陕西玮创达人力资源有限公司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西安航投启创人才科技有限公司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陕西诚邦人力资源有限公司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陕西省中小企业人才市场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北京德恒（西安）律师事务所</w:t>
            </w:r>
          </w:p>
        </w:tc>
        <w:tc>
          <w:tcPr>
            <w:tcW w:w="3365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法律服务（2）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陕西洪振律师事务所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陕西省区块链技术与产业发展研究会</w:t>
            </w:r>
          </w:p>
        </w:tc>
        <w:tc>
          <w:tcPr>
            <w:tcW w:w="3365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综合服务（2）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宝鸡金瑞财企业管理有限公司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A7ECF"/>
    <w:rsid w:val="00E74841"/>
    <w:rsid w:val="081A7ECF"/>
    <w:rsid w:val="0DA52A52"/>
    <w:rsid w:val="15072A73"/>
    <w:rsid w:val="1E4C318D"/>
    <w:rsid w:val="20045E8C"/>
    <w:rsid w:val="22C01390"/>
    <w:rsid w:val="26AA3EC8"/>
    <w:rsid w:val="2C9F0717"/>
    <w:rsid w:val="3E810FC1"/>
    <w:rsid w:val="41A82C28"/>
    <w:rsid w:val="59FD65E7"/>
    <w:rsid w:val="5D1F62E9"/>
    <w:rsid w:val="5D633B52"/>
    <w:rsid w:val="5F4B64AA"/>
    <w:rsid w:val="62230C95"/>
    <w:rsid w:val="701F5FF3"/>
    <w:rsid w:val="7B5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99"/>
    <w:pPr>
      <w:spacing w:after="120"/>
    </w:pPr>
    <w:rPr>
      <w:rFonts w:ascii="Calibri" w:hAnsi="Calibri" w:eastAsia="宋体" w:cs="Times New Roman"/>
      <w:sz w:val="21"/>
      <w:szCs w:val="24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4">
    <w:name w:val="引用1"/>
    <w:basedOn w:val="1"/>
    <w:next w:val="1"/>
    <w:qFormat/>
    <w:uiPriority w:val="0"/>
    <w:pPr>
      <w:suppressAutoHyphens/>
      <w:ind w:left="864" w:right="864"/>
      <w:jc w:val="center"/>
    </w:pPr>
    <w:rPr>
      <w:i/>
      <w:iCs/>
      <w:color w:val="00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2025-09-17T03:15:00Z</dcterms:created>
  <dc:creator>wang</dc:creator>
  <cp:lastModifiedBy>wang</cp:lastModifiedBy>
  <cp:lastPrinted>2025-10-22T03:03:00Z</cp:lastPrinted>
  <dcterms:modified xsi:type="dcterms:W3CDTF">2025-11-05T08:01:45Z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