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Times New Roman" w:hAnsi="Times New Roman" w:eastAsia="仿宋_GB2312" w:cs="仿宋_GB2312"/>
          <w:sz w:val="52"/>
          <w:szCs w:val="52"/>
        </w:rPr>
      </w:pPr>
    </w:p>
    <w:p>
      <w:pPr>
        <w:rPr>
          <w:rFonts w:hint="eastAsia" w:ascii="Times New Roman" w:hAnsi="Times New Roman" w:eastAsia="仿宋_GB2312" w:cs="仿宋_GB2312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sz w:val="36"/>
          <w:szCs w:val="36"/>
        </w:rPr>
        <w:t>《工业和信息化部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关于</w:t>
      </w:r>
      <w:r>
        <w:rPr>
          <w:rFonts w:hint="default" w:ascii="Times New Roman" w:hAnsi="Times New Roman" w:eastAsia="方正小标宋简体" w:cs="方正小标宋简体"/>
          <w:sz w:val="36"/>
          <w:szCs w:val="36"/>
        </w:rPr>
        <w:t>深化“证照分离”改</w:t>
      </w:r>
      <w:r>
        <w:rPr>
          <w:rFonts w:hint="default" w:ascii="Times New Roman" w:hAnsi="Times New Roman" w:eastAsia="方正小标宋简体" w:cs="方正小标宋简体"/>
          <w:sz w:val="36"/>
          <w:szCs w:val="36"/>
          <w:highlight w:val="none"/>
        </w:rPr>
        <w:t>革的通告》解读</w:t>
      </w:r>
    </w:p>
    <w:bookmarkEnd w:id="0"/>
    <w:p>
      <w:pPr>
        <w:pStyle w:val="2"/>
        <w:rPr>
          <w:rFonts w:hint="eastAsia" w:ascii="Times New Roman" w:hAnsi="Times New Roman"/>
        </w:rPr>
      </w:pP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日前，工业和信息化部印发《关于深化“证照分离”改革的通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告》（以下简称《</w:t>
      </w:r>
      <w:r>
        <w:rPr>
          <w:rFonts w:hint="default" w:ascii="Times New Roman" w:hAnsi="Times New Roman" w:eastAsia="仿宋_GB2312" w:cs="仿宋_GB2312"/>
          <w:sz w:val="32"/>
          <w:szCs w:val="32"/>
        </w:rPr>
        <w:t>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告》），对工业和</w:t>
      </w:r>
      <w:r>
        <w:rPr>
          <w:rFonts w:hint="default" w:ascii="Times New Roman" w:hAnsi="Times New Roman" w:eastAsia="仿宋_GB2312" w:cs="仿宋_GB2312"/>
          <w:sz w:val="32"/>
          <w:szCs w:val="32"/>
        </w:rPr>
        <w:t>信息化领域18项涉企经营许可事项深化“证照分离”改革作出部署。为更好地理解和执行《通告》，工业和信息化部产业政策与法规司对有关情况进行了解读。</w:t>
      </w:r>
    </w:p>
    <w:p>
      <w:pPr>
        <w:ind w:firstLine="64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问：工业和信息化领域18项涉企经营许可事项开展“证照分离”改革的背景是什么？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答：开展“证照分离”改革，是落实党中央、国务院重大决策部署，深化“放管服”改革、优化营商环境的重要举措。国务院日前印发《关于深化“证照分离”改革进一步激发市场主体发展活力的通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知》（国发〔2021〕7号，以下简称《通知》），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决定在全国范围内推行“证照分离”改革全覆盖，在自由贸易试验区加大改革试点力度。工业和信息化领域18项涉企经营许可事项列入“证照分离”改革清单，在全国范围内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或者</w:t>
      </w:r>
      <w:r>
        <w:rPr>
          <w:rFonts w:hint="default" w:ascii="Times New Roman" w:hAnsi="Times New Roman" w:eastAsia="仿宋_GB2312" w:cs="仿宋_GB2312"/>
          <w:sz w:val="32"/>
          <w:szCs w:val="32"/>
        </w:rPr>
        <w:t>自由贸易试验区按照直接取消审批、优化审批服务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实行</w:t>
      </w:r>
      <w:r>
        <w:rPr>
          <w:rFonts w:hint="default" w:ascii="Times New Roman" w:hAnsi="Times New Roman" w:eastAsia="仿宋_GB2312" w:cs="仿宋_GB2312"/>
          <w:sz w:val="32"/>
          <w:szCs w:val="32"/>
        </w:rPr>
        <w:t>告知承诺审批试点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等方式进行改革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。根据国务院有关要求，工业和信息化部研究制定了《通告》，细化改革落实措施，明确工作要求。</w:t>
      </w:r>
    </w:p>
    <w:p>
      <w:pPr>
        <w:ind w:firstLine="64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问：为深化“证照分离”改革，工业和信息化部开展了哪些工作？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答：工业和信息化部坚决贯彻落实党中央、国务院关于深化“证照分离”改革的决策部署，积极推进工业和信息化领域相关改革工作。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一是加强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  <w:t>统筹协调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。组织相关司局提前谋划改革举措，在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前期</w:t>
      </w:r>
      <w:r>
        <w:rPr>
          <w:rFonts w:hint="default" w:ascii="Times New Roman" w:hAnsi="Times New Roman" w:eastAsia="仿宋_GB2312" w:cs="仿宋_GB2312"/>
          <w:sz w:val="32"/>
          <w:szCs w:val="32"/>
        </w:rPr>
        <w:t>自由贸易试验区“证照分离”改革试点工作的基础上，总结有关改革试点效果，研究向全国推广改革经验的可行性，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统筹提出改革举措建议，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为本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次深化“证照分离”</w:t>
      </w:r>
      <w:r>
        <w:rPr>
          <w:rFonts w:hint="default" w:ascii="Times New Roman" w:hAnsi="Times New Roman" w:eastAsia="仿宋_GB2312" w:cs="仿宋_GB2312"/>
          <w:sz w:val="32"/>
          <w:szCs w:val="32"/>
        </w:rPr>
        <w:t>改革奠定基础。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二是细化改革举措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。在《通知》印发后，抓紧制定《通告》，对18项涉企经营许可事项逐项细化改革举措，对部分事项提出进一步的改革举措，提升改革效果。</w:t>
      </w:r>
    </w:p>
    <w:p>
      <w:pPr>
        <w:ind w:firstLine="640"/>
        <w:rPr>
          <w:rFonts w:hint="default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三是做好改革实施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。在细化改革举措的同时，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《通告》对</w:t>
      </w:r>
      <w:r>
        <w:rPr>
          <w:rFonts w:hint="default" w:ascii="Times New Roman" w:hAnsi="Times New Roman" w:eastAsia="仿宋_GB2312" w:cs="仿宋_GB2312"/>
          <w:sz w:val="32"/>
          <w:szCs w:val="32"/>
        </w:rPr>
        <w:t>电子证照应用、业务培训指导、政策宣传解读、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规章制度</w:t>
      </w:r>
      <w:r>
        <w:rPr>
          <w:rFonts w:hint="default" w:ascii="Times New Roman" w:hAnsi="Times New Roman" w:eastAsia="仿宋_GB2312" w:cs="仿宋_GB2312"/>
          <w:sz w:val="32"/>
          <w:szCs w:val="32"/>
        </w:rPr>
        <w:t>制修订等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要求，确保改革落地见效。</w:t>
      </w:r>
    </w:p>
    <w:p>
      <w:pPr>
        <w:ind w:firstLine="64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问：</w:t>
      </w:r>
      <w:r>
        <w:rPr>
          <w:rFonts w:hint="default" w:ascii="Times New Roman" w:hAnsi="Times New Roman" w:eastAsia="黑体" w:cs="黑体"/>
          <w:sz w:val="32"/>
          <w:szCs w:val="32"/>
        </w:rPr>
        <w:t>《通告》的主要内容是什么</w:t>
      </w:r>
      <w:r>
        <w:rPr>
          <w:rFonts w:hint="eastAsia" w:ascii="Times New Roman" w:hAnsi="Times New Roman" w:eastAsia="黑体" w:cs="黑体"/>
          <w:sz w:val="32"/>
          <w:szCs w:val="32"/>
        </w:rPr>
        <w:t>？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答：《通告》针对工业和信息化领域18项涉企经营许可事项，提出了细化落实措施和工作要求。</w:t>
      </w:r>
    </w:p>
    <w:p>
      <w:p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一是明确实施时间、实施地域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。《通告》明确自2021年7月1日起，对18项涉企经营许可事项在全国范围内，按照直接取消审批、优化审批服务等方式分类推进改革；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电信业务（第二类增值电信业务）经营许可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”事项，明确</w:t>
      </w:r>
      <w:r>
        <w:rPr>
          <w:rFonts w:hint="default" w:ascii="Times New Roman" w:hAnsi="Times New Roman" w:eastAsia="仿宋_GB2312" w:cs="仿宋_GB2312"/>
          <w:sz w:val="32"/>
          <w:szCs w:val="32"/>
        </w:rPr>
        <w:t>在自由贸易试验区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仿宋_GB2312"/>
          <w:sz w:val="32"/>
          <w:szCs w:val="32"/>
        </w:rPr>
        <w:t>实行告知承诺审批试点。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二是明确改革落实举措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。《通告》逐项细化工业和信息化领域18项涉企经营许可事项的改革举措。其中，取消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外商投资经营电信业务审批</w:t>
      </w:r>
      <w:r>
        <w:rPr>
          <w:rFonts w:hint="default" w:ascii="Times New Roman" w:hAnsi="Times New Roman" w:eastAsia="仿宋_GB2312" w:cs="仿宋_GB2312"/>
          <w:sz w:val="32"/>
          <w:szCs w:val="32"/>
        </w:rPr>
        <w:t>，不再核发《外商投资经营电信业务审定意见书》，相应外资审查工作纳入电信业务经营许可审批环节；取消“第二、三类监控化学品和第四类监控化学品中含磷、硫、氟的特定有机化学品生产特别许可”初审环节，“第二、三类监控化学品和第四类监控化学品中含磷、硫、氟的特定有机化学品生产特别许可”由省级工业和信息化主管部门初审、工业和信息化部审批，调整为省级工业和信息化主管部门直接审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，同时</w:t>
      </w:r>
      <w:r>
        <w:rPr>
          <w:rFonts w:hint="default" w:ascii="Times New Roman" w:hAnsi="Times New Roman" w:eastAsia="仿宋_GB2312" w:cs="仿宋_GB2312"/>
          <w:sz w:val="32"/>
          <w:szCs w:val="32"/>
        </w:rPr>
        <w:t>明确监管措施。对食盐定点批发和生产企业审批、电信业务经营许可、电子认证服务许可、民用爆炸物品相关许可、互联网域名服务相关许可、道路机动车生产企业许可、监控化学品相关许可等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仿宋_GB2312"/>
          <w:sz w:val="32"/>
          <w:szCs w:val="32"/>
        </w:rPr>
        <w:t>提出压减审批时限、简化审批材料、调整审批层级、优化审批流程、完善监管方式等改革要求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仿宋_GB2312"/>
          <w:sz w:val="32"/>
          <w:szCs w:val="32"/>
        </w:rPr>
        <w:t>监管措施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。其中，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在自由贸易试验区</w:t>
      </w:r>
      <w:r>
        <w:rPr>
          <w:rFonts w:hint="default" w:ascii="Times New Roman" w:hAnsi="Times New Roman" w:eastAsia="仿宋_GB2312" w:cs="仿宋_GB2312"/>
          <w:sz w:val="32"/>
          <w:szCs w:val="32"/>
        </w:rPr>
        <w:t>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行</w:t>
      </w:r>
      <w:r>
        <w:rPr>
          <w:rFonts w:hint="default" w:ascii="Times New Roman" w:hAnsi="Times New Roman" w:eastAsia="仿宋_GB2312" w:cs="仿宋_GB2312"/>
          <w:sz w:val="32"/>
          <w:szCs w:val="32"/>
        </w:rPr>
        <w:t>告知承诺审批试点的事项，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明确要求</w:t>
      </w:r>
      <w:r>
        <w:rPr>
          <w:rFonts w:hint="default" w:ascii="Times New Roman" w:hAnsi="Times New Roman" w:eastAsia="仿宋_GB2312" w:cs="仿宋_GB2312"/>
          <w:sz w:val="32"/>
          <w:szCs w:val="32"/>
        </w:rPr>
        <w:t>公布告知承诺书格式文本，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一次性</w:t>
      </w:r>
      <w:r>
        <w:rPr>
          <w:rFonts w:hint="default" w:ascii="Times New Roman" w:hAnsi="Times New Roman" w:eastAsia="仿宋_GB2312" w:cs="仿宋_GB2312"/>
          <w:sz w:val="32"/>
          <w:szCs w:val="32"/>
        </w:rPr>
        <w:t>告知申请人许可条件和所需材料。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三是明确实施要求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。各级工业和信息化主管部门、通信管理局要按照《通知》和《通告》有关要求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抓</w:t>
      </w:r>
      <w:r>
        <w:rPr>
          <w:rFonts w:hint="default" w:ascii="Times New Roman" w:hAnsi="Times New Roman" w:eastAsia="仿宋_GB2312" w:cs="仿宋_GB2312"/>
          <w:sz w:val="32"/>
          <w:szCs w:val="32"/>
        </w:rPr>
        <w:t>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贯彻落实</w:t>
      </w:r>
      <w:r>
        <w:rPr>
          <w:rFonts w:hint="default" w:ascii="Times New Roman" w:hAnsi="Times New Roman" w:eastAsia="仿宋_GB2312" w:cs="仿宋_GB2312"/>
          <w:sz w:val="32"/>
          <w:szCs w:val="32"/>
        </w:rPr>
        <w:t>工作，创新和加强事中事后监管，不断提升政务服务水平。同时，要求加强对“证照分离”改革相关工作的指导，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及时做好</w:t>
      </w:r>
      <w:r>
        <w:rPr>
          <w:rFonts w:hint="default" w:ascii="Times New Roman" w:hAnsi="Times New Roman" w:eastAsia="仿宋_GB2312" w:cs="仿宋_GB2312"/>
          <w:sz w:val="32"/>
          <w:szCs w:val="32"/>
        </w:rPr>
        <w:t>电子证照应用、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规章制度</w:t>
      </w:r>
      <w:r>
        <w:rPr>
          <w:rFonts w:hint="default" w:ascii="Times New Roman" w:hAnsi="Times New Roman" w:eastAsia="仿宋_GB2312" w:cs="仿宋_GB2312"/>
          <w:sz w:val="32"/>
          <w:szCs w:val="32"/>
        </w:rPr>
        <w:t>制修订等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仿宋_GB2312"/>
          <w:sz w:val="32"/>
          <w:szCs w:val="32"/>
        </w:rPr>
        <w:t>工作，确保改革落地见效、企业享受改革红利。</w:t>
      </w:r>
    </w:p>
    <w:p>
      <w:pPr>
        <w:numPr>
          <w:ilvl w:val="0"/>
          <w:numId w:val="0"/>
        </w:numPr>
        <w:ind w:firstLine="640"/>
        <w:rPr>
          <w:rFonts w:ascii="Times New Roman" w:hAnsi="Times New Roma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2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2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PGGH6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08DE"/>
    <w:rsid w:val="0C7B796B"/>
    <w:rsid w:val="105D5580"/>
    <w:rsid w:val="1A4BAD91"/>
    <w:rsid w:val="1FD28C81"/>
    <w:rsid w:val="2655E868"/>
    <w:rsid w:val="27FF4153"/>
    <w:rsid w:val="27FFDF3D"/>
    <w:rsid w:val="2CFAA357"/>
    <w:rsid w:val="2F7FC261"/>
    <w:rsid w:val="2FE33B02"/>
    <w:rsid w:val="2FEF48A4"/>
    <w:rsid w:val="36FD3EBE"/>
    <w:rsid w:val="38FF4D55"/>
    <w:rsid w:val="3B3F08DE"/>
    <w:rsid w:val="3BB78690"/>
    <w:rsid w:val="3C7B3A48"/>
    <w:rsid w:val="3FF7DBD1"/>
    <w:rsid w:val="47ED9305"/>
    <w:rsid w:val="49ED5312"/>
    <w:rsid w:val="4B5F4511"/>
    <w:rsid w:val="4BF46E3A"/>
    <w:rsid w:val="4BFF6468"/>
    <w:rsid w:val="547B3E93"/>
    <w:rsid w:val="55E624A9"/>
    <w:rsid w:val="573F7C4C"/>
    <w:rsid w:val="57975540"/>
    <w:rsid w:val="5BF5B76B"/>
    <w:rsid w:val="5CDFED07"/>
    <w:rsid w:val="5CFD8A64"/>
    <w:rsid w:val="5EE76AB2"/>
    <w:rsid w:val="5F7F46B5"/>
    <w:rsid w:val="5FFD63E1"/>
    <w:rsid w:val="63AB4CB1"/>
    <w:rsid w:val="659127E8"/>
    <w:rsid w:val="6B953A59"/>
    <w:rsid w:val="6FDC4D8A"/>
    <w:rsid w:val="6FDFAA28"/>
    <w:rsid w:val="6FF758B1"/>
    <w:rsid w:val="741F4A97"/>
    <w:rsid w:val="769C6A23"/>
    <w:rsid w:val="77ED650F"/>
    <w:rsid w:val="79577BC1"/>
    <w:rsid w:val="7D2BB059"/>
    <w:rsid w:val="7DFAC113"/>
    <w:rsid w:val="7DFDA672"/>
    <w:rsid w:val="7E78726F"/>
    <w:rsid w:val="7F5F5964"/>
    <w:rsid w:val="7F7F0426"/>
    <w:rsid w:val="7FAFEA93"/>
    <w:rsid w:val="7FBEA84E"/>
    <w:rsid w:val="7FE732D5"/>
    <w:rsid w:val="7FF71629"/>
    <w:rsid w:val="7FFB3AD7"/>
    <w:rsid w:val="7FFE7BBA"/>
    <w:rsid w:val="7FFEA244"/>
    <w:rsid w:val="7FFF61A8"/>
    <w:rsid w:val="8BFEEACC"/>
    <w:rsid w:val="9BFFFCE8"/>
    <w:rsid w:val="9D76DD60"/>
    <w:rsid w:val="ABA8D486"/>
    <w:rsid w:val="AFBC4B3E"/>
    <w:rsid w:val="B7DF9662"/>
    <w:rsid w:val="BBFF9809"/>
    <w:rsid w:val="BD97072E"/>
    <w:rsid w:val="BDDFD670"/>
    <w:rsid w:val="BDFF31F5"/>
    <w:rsid w:val="BF7936CE"/>
    <w:rsid w:val="BF7F9BBE"/>
    <w:rsid w:val="CEFB98E9"/>
    <w:rsid w:val="D5378AAE"/>
    <w:rsid w:val="D96674D3"/>
    <w:rsid w:val="DB3B96A8"/>
    <w:rsid w:val="DE75310C"/>
    <w:rsid w:val="DFBFFD54"/>
    <w:rsid w:val="DFFB2D3F"/>
    <w:rsid w:val="E2BB185C"/>
    <w:rsid w:val="E3E56F54"/>
    <w:rsid w:val="E9CB9B83"/>
    <w:rsid w:val="EBFFFAA7"/>
    <w:rsid w:val="EDFEF910"/>
    <w:rsid w:val="EEFCE1CA"/>
    <w:rsid w:val="EEFE2E58"/>
    <w:rsid w:val="EF7D6B81"/>
    <w:rsid w:val="EF8FCC31"/>
    <w:rsid w:val="EFF3C492"/>
    <w:rsid w:val="F33E21ED"/>
    <w:rsid w:val="F5BDE0B0"/>
    <w:rsid w:val="FAFDF149"/>
    <w:rsid w:val="FB3D5CE5"/>
    <w:rsid w:val="FBF72626"/>
    <w:rsid w:val="FBFF7AB1"/>
    <w:rsid w:val="FF1FCD5E"/>
    <w:rsid w:val="FF5BF27C"/>
    <w:rsid w:val="FF5FEA7C"/>
    <w:rsid w:val="FF9F793F"/>
    <w:rsid w:val="FFABDCEA"/>
    <w:rsid w:val="FFB76C51"/>
    <w:rsid w:val="FFD5E4E9"/>
    <w:rsid w:val="FFED69DB"/>
    <w:rsid w:val="FFFA5E5B"/>
    <w:rsid w:val="FFFCE457"/>
    <w:rsid w:val="FFFFF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240" w:afterLines="0"/>
      <w:ind w:left="142"/>
    </w:pPr>
    <w:rPr>
      <w:rFonts w:ascii="Verdana" w:hAnsi="Verdana" w:eastAsia="宋体" w:cs="Times New Roman"/>
      <w:kern w:val="0"/>
      <w:sz w:val="18"/>
      <w:lang w:val="zh-CN"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2021-06-23T11:11:00Z</dcterms:created>
  <dc:creator>杨子江</dc:creator>
  <cp:lastModifiedBy>WPS_1609728080</cp:lastModifiedBy>
  <dcterms:modified xsi:type="dcterms:W3CDTF">2021-07-05T01:39:21Z</dcterms:modified>
  <dc:title>《工业和信息化部关于深化“证照分离”改革的通告》解读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